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41542" w14:textId="77777777" w:rsidR="00B66326" w:rsidRDefault="00B66326" w:rsidP="00BA11CB">
      <w:bookmarkStart w:id="0" w:name="_GoBack"/>
      <w:bookmarkEnd w:id="0"/>
    </w:p>
    <w:p w14:paraId="44504AE2" w14:textId="77777777" w:rsidR="003D0E20" w:rsidRPr="00C26173" w:rsidRDefault="00117B55" w:rsidP="00C26173">
      <w:pPr>
        <w:pStyle w:val="Titre1"/>
      </w:pPr>
      <w:r>
        <w:t>Logique et principe de la méthode des centres d’analyse</w:t>
      </w:r>
    </w:p>
    <w:p w14:paraId="5755ABFF" w14:textId="77777777" w:rsidR="008D1D2A" w:rsidRDefault="00117B55" w:rsidP="00117B55">
      <w:pPr>
        <w:pStyle w:val="Titre2"/>
      </w:pPr>
      <w:r>
        <w:t xml:space="preserve">Logique de la méthode. </w:t>
      </w:r>
    </w:p>
    <w:p w14:paraId="0CB4450F" w14:textId="77777777" w:rsidR="00117B55" w:rsidRDefault="00117B55" w:rsidP="00117B55">
      <w:r>
        <w:t xml:space="preserve">     Chaque ressource (</w:t>
      </w:r>
      <w:r w:rsidRPr="00117B55">
        <w:rPr>
          <w:b/>
        </w:rPr>
        <w:t>charge</w:t>
      </w:r>
      <w:r>
        <w:t xml:space="preserve">) est consommé à un point précis du cycle d’exploitation par un centre (ou section). L’entreprise est vue comme une ensemble de centres mono prestation. </w:t>
      </w:r>
    </w:p>
    <w:p w14:paraId="7ACA07BE" w14:textId="77777777" w:rsidR="00117B55" w:rsidRPr="00117B55" w:rsidRDefault="00117B55" w:rsidP="00117B55"/>
    <w:p w14:paraId="3398062D" w14:textId="77777777" w:rsidR="00117B55" w:rsidRDefault="00117B55" w:rsidP="00117B55">
      <w:pPr>
        <w:pStyle w:val="Titre2"/>
      </w:pPr>
      <w:r>
        <w:t xml:space="preserve">Principe de la méthode. </w:t>
      </w:r>
    </w:p>
    <w:p w14:paraId="6A31B374" w14:textId="77777777" w:rsidR="00117B55" w:rsidRDefault="00117B55" w:rsidP="00117B55">
      <w:pPr>
        <w:pStyle w:val="Paragraphedeliste"/>
        <w:numPr>
          <w:ilvl w:val="0"/>
          <w:numId w:val="19"/>
        </w:numPr>
      </w:pPr>
      <w:r>
        <w:t xml:space="preserve">Attribuer les coûts indirects aux centres où ils sont effectivement mis en œuvre. </w:t>
      </w:r>
    </w:p>
    <w:p w14:paraId="0FBE5172" w14:textId="77777777" w:rsidR="00117B55" w:rsidRDefault="00117B55" w:rsidP="00117B55">
      <w:pPr>
        <w:pStyle w:val="Paragraphedeliste"/>
        <w:numPr>
          <w:ilvl w:val="0"/>
          <w:numId w:val="19"/>
        </w:numPr>
      </w:pPr>
      <w:r>
        <w:t xml:space="preserve">Identifier la nature de la prestation fournie par chaque centre. </w:t>
      </w:r>
    </w:p>
    <w:p w14:paraId="13472FE6" w14:textId="77777777" w:rsidR="00117B55" w:rsidRDefault="00117B55" w:rsidP="00117B55">
      <w:pPr>
        <w:pStyle w:val="Paragraphedeliste"/>
        <w:numPr>
          <w:ilvl w:val="0"/>
          <w:numId w:val="19"/>
        </w:numPr>
      </w:pPr>
      <w:r>
        <w:t xml:space="preserve">Calculer le coût de l’unité de prestation pour attacher les coûts de centre aux bénéficiaires. </w:t>
      </w:r>
    </w:p>
    <w:p w14:paraId="2D0547D9" w14:textId="77777777" w:rsidR="00117B55" w:rsidRDefault="00117B55" w:rsidP="00117B55"/>
    <w:p w14:paraId="3EA219A3" w14:textId="77777777" w:rsidR="00117B55" w:rsidRDefault="00117B55" w:rsidP="00117B55">
      <w:pPr>
        <w:pStyle w:val="Titre1"/>
      </w:pPr>
      <w:r>
        <w:t xml:space="preserve">Traitement des charges indirectes. </w:t>
      </w:r>
    </w:p>
    <w:p w14:paraId="6BBE58D4" w14:textId="77777777" w:rsidR="00117B55" w:rsidRDefault="00117B55" w:rsidP="00117B55">
      <w:pPr>
        <w:pStyle w:val="Titre2"/>
        <w:numPr>
          <w:ilvl w:val="1"/>
          <w:numId w:val="16"/>
        </w:numPr>
      </w:pPr>
      <w:r>
        <w:t xml:space="preserve">Les centres d’analyse. </w:t>
      </w:r>
    </w:p>
    <w:p w14:paraId="0062BC53" w14:textId="77777777" w:rsidR="00117B55" w:rsidRDefault="00117B55" w:rsidP="00117B55">
      <w:r>
        <w:rPr>
          <w:b/>
        </w:rPr>
        <w:t xml:space="preserve">Centre d’analyse = </w:t>
      </w:r>
      <w:r>
        <w:t xml:space="preserve">subdivision comptable de l’entreprise où sont analysées et regroupées les charges indirectes préalablement à leur imputation en cours. </w:t>
      </w:r>
    </w:p>
    <w:p w14:paraId="66DF60A4" w14:textId="77777777" w:rsidR="00C24155" w:rsidRDefault="001D07E6" w:rsidP="00117B55">
      <w:pPr>
        <w:rPr>
          <w:i/>
        </w:rPr>
      </w:pPr>
      <w:r>
        <w:rPr>
          <w:i/>
        </w:rPr>
        <w:t>Ex de centre d’analyse : administration (</w:t>
      </w:r>
      <w:r w:rsidR="00C24155">
        <w:rPr>
          <w:i/>
        </w:rPr>
        <w:t>gestion d</w:t>
      </w:r>
      <w:r>
        <w:rPr>
          <w:i/>
        </w:rPr>
        <w:t xml:space="preserve">e personnel, </w:t>
      </w:r>
      <w:r w:rsidR="00C24155">
        <w:rPr>
          <w:i/>
        </w:rPr>
        <w:t>gesti</w:t>
      </w:r>
      <w:r>
        <w:rPr>
          <w:i/>
        </w:rPr>
        <w:t xml:space="preserve">on des bâtiments et du matériel,  prestations connexes, gestion des approvisionnements) ou étude technique et recherche (production, distribution, autres frais à couvrir). </w:t>
      </w:r>
    </w:p>
    <w:p w14:paraId="228B5F07" w14:textId="77777777" w:rsidR="001D07E6" w:rsidRDefault="001D07E6" w:rsidP="001D07E6">
      <w:r>
        <w:rPr>
          <w:b/>
        </w:rPr>
        <w:t xml:space="preserve">Critères = </w:t>
      </w:r>
      <w:r>
        <w:t>division réelle de l’entreprise. Comportement commun des charges totalisées, action, homogène, UE.</w:t>
      </w:r>
    </w:p>
    <w:p w14:paraId="57C96389" w14:textId="77777777" w:rsidR="001D07E6" w:rsidRDefault="001D07E6" w:rsidP="001D07E6">
      <w:r>
        <w:rPr>
          <w:b/>
        </w:rPr>
        <w:t xml:space="preserve">Typologie = </w:t>
      </w:r>
      <w:r>
        <w:t xml:space="preserve">centre opérationnels : centres principaux ou auxiliaires. </w:t>
      </w:r>
    </w:p>
    <w:p w14:paraId="63FC705C" w14:textId="77777777" w:rsidR="001D07E6" w:rsidRPr="001D07E6" w:rsidRDefault="001D07E6" w:rsidP="001D07E6"/>
    <w:p w14:paraId="666F6158" w14:textId="77777777" w:rsidR="00117B55" w:rsidRDefault="00117B55" w:rsidP="000E31FB">
      <w:pPr>
        <w:pStyle w:val="Titre2"/>
        <w:numPr>
          <w:ilvl w:val="1"/>
          <w:numId w:val="16"/>
        </w:numPr>
      </w:pPr>
      <w:r>
        <w:t xml:space="preserve">Mesure de l’activité du centre : Unité d’œuvre. </w:t>
      </w:r>
    </w:p>
    <w:p w14:paraId="59F66AB2" w14:textId="77777777" w:rsidR="00117B55" w:rsidRDefault="00117B55" w:rsidP="00117B55">
      <w:r>
        <w:t xml:space="preserve">    Représente l’unité de mesure de la prestation d’un centre. Doit refléter l’activité de tout le centre, qui doit être homogène, doit représenter l’une des principales causes de variations des coûts indirects variables.</w:t>
      </w:r>
    </w:p>
    <w:p w14:paraId="5D6826EC" w14:textId="77777777" w:rsidR="00117B55" w:rsidRPr="00117B55" w:rsidRDefault="00117B55" w:rsidP="00117B55">
      <w:pPr>
        <w:rPr>
          <w:i/>
        </w:rPr>
      </w:pPr>
      <w:r>
        <w:rPr>
          <w:i/>
        </w:rPr>
        <w:t xml:space="preserve">Ex : </w:t>
      </w:r>
    </w:p>
    <w:p w14:paraId="7FAA1A06" w14:textId="77777777" w:rsidR="00117B55" w:rsidRPr="00117B55" w:rsidRDefault="00117B55" w:rsidP="00117B55">
      <w:pPr>
        <w:pStyle w:val="Paragraphedeliste"/>
        <w:numPr>
          <w:ilvl w:val="0"/>
          <w:numId w:val="23"/>
        </w:numPr>
        <w:rPr>
          <w:i/>
        </w:rPr>
      </w:pPr>
      <w:r w:rsidRPr="00117B55">
        <w:rPr>
          <w:b/>
          <w:i/>
        </w:rPr>
        <w:t>Achat =</w:t>
      </w:r>
      <w:r w:rsidRPr="00117B55">
        <w:rPr>
          <w:i/>
        </w:rPr>
        <w:t xml:space="preserve"> valeur des produits achetés, nombre de commandes traitées,… </w:t>
      </w:r>
    </w:p>
    <w:p w14:paraId="3BB566C5" w14:textId="77777777" w:rsidR="00117B55" w:rsidRPr="00117B55" w:rsidRDefault="00117B55" w:rsidP="00117B55">
      <w:pPr>
        <w:pStyle w:val="Paragraphedeliste"/>
        <w:numPr>
          <w:ilvl w:val="0"/>
          <w:numId w:val="23"/>
        </w:numPr>
        <w:rPr>
          <w:i/>
        </w:rPr>
      </w:pPr>
      <w:r w:rsidRPr="00117B55">
        <w:rPr>
          <w:b/>
          <w:i/>
        </w:rPr>
        <w:t>Heures de ma</w:t>
      </w:r>
      <w:r>
        <w:rPr>
          <w:b/>
          <w:i/>
        </w:rPr>
        <w:t xml:space="preserve">chines = </w:t>
      </w:r>
      <w:r w:rsidRPr="00117B55">
        <w:rPr>
          <w:i/>
        </w:rPr>
        <w:t xml:space="preserve">heures de main d’œuvres,… </w:t>
      </w:r>
    </w:p>
    <w:p w14:paraId="39346085" w14:textId="77777777" w:rsidR="00117B55" w:rsidRDefault="00117B55" w:rsidP="00117B55">
      <w:pPr>
        <w:pStyle w:val="Paragraphedeliste"/>
        <w:numPr>
          <w:ilvl w:val="0"/>
          <w:numId w:val="23"/>
        </w:numPr>
        <w:rPr>
          <w:i/>
        </w:rPr>
      </w:pPr>
      <w:r w:rsidRPr="00117B55">
        <w:rPr>
          <w:b/>
          <w:i/>
        </w:rPr>
        <w:t>Entretien </w:t>
      </w:r>
      <w:r>
        <w:rPr>
          <w:b/>
          <w:i/>
        </w:rPr>
        <w:t>=</w:t>
      </w:r>
      <w:r w:rsidRPr="00117B55">
        <w:rPr>
          <w:i/>
        </w:rPr>
        <w:t xml:space="preserve"> heures d’entretien, nombre d’interventions,…</w:t>
      </w:r>
      <w:r>
        <w:rPr>
          <w:i/>
        </w:rPr>
        <w:br/>
      </w:r>
    </w:p>
    <w:p w14:paraId="296796B3" w14:textId="77777777" w:rsidR="00117B55" w:rsidRDefault="00117B55" w:rsidP="00117B55">
      <w:r>
        <w:t xml:space="preserve">Deux types d’unité d’œuvre selon </w:t>
      </w:r>
      <w:r w:rsidRPr="00C24155">
        <w:rPr>
          <w:b/>
          <w:u w:val="single"/>
        </w:rPr>
        <w:t>centre opérationnel</w:t>
      </w:r>
      <w:r>
        <w:t xml:space="preserve"> ou </w:t>
      </w:r>
      <w:r w:rsidRPr="00C24155">
        <w:rPr>
          <w:b/>
          <w:u w:val="single"/>
        </w:rPr>
        <w:t>structure</w:t>
      </w:r>
      <w:r>
        <w:t xml:space="preserve">. </w:t>
      </w:r>
    </w:p>
    <w:p w14:paraId="060D1657" w14:textId="77777777" w:rsidR="00117B55" w:rsidRDefault="00117B55" w:rsidP="00117B55">
      <w:pPr>
        <w:pStyle w:val="Paragraphedeliste"/>
        <w:numPr>
          <w:ilvl w:val="0"/>
          <w:numId w:val="19"/>
        </w:numPr>
      </w:pPr>
      <w:r w:rsidRPr="00117B55">
        <w:rPr>
          <w:b/>
        </w:rPr>
        <w:t>Centre</w:t>
      </w:r>
      <w:r w:rsidR="00C24155">
        <w:rPr>
          <w:b/>
        </w:rPr>
        <w:t>s</w:t>
      </w:r>
      <w:r w:rsidRPr="00117B55">
        <w:rPr>
          <w:b/>
        </w:rPr>
        <w:t xml:space="preserve"> opérationnels</w:t>
      </w:r>
      <w:r>
        <w:t xml:space="preserve"> : Unité d’œuvre </w:t>
      </w:r>
      <w:r w:rsidR="00C24155">
        <w:t xml:space="preserve">(UO) en mesure physique = activité réelle. </w:t>
      </w:r>
    </w:p>
    <w:p w14:paraId="3F1EBBC2" w14:textId="77777777" w:rsidR="00117B55" w:rsidRDefault="00117B55" w:rsidP="00117B55">
      <w:pPr>
        <w:pStyle w:val="Paragraphedeliste"/>
        <w:numPr>
          <w:ilvl w:val="1"/>
          <w:numId w:val="19"/>
        </w:numPr>
      </w:pPr>
      <w:r>
        <w:t>I</w:t>
      </w:r>
      <w:r w:rsidR="00C24155">
        <w:t xml:space="preserve">mputer une </w:t>
      </w:r>
      <w:r>
        <w:t>actio</w:t>
      </w:r>
      <w:r w:rsidR="00C24155">
        <w:t>n</w:t>
      </w:r>
      <w:r>
        <w:t xml:space="preserve"> du coût du centre d’analyse à un coût. </w:t>
      </w:r>
    </w:p>
    <w:p w14:paraId="1915C524" w14:textId="77777777" w:rsidR="00117B55" w:rsidRDefault="00117B55" w:rsidP="00117B55">
      <w:pPr>
        <w:pStyle w:val="Paragraphedeliste"/>
        <w:numPr>
          <w:ilvl w:val="1"/>
          <w:numId w:val="19"/>
        </w:numPr>
      </w:pPr>
      <w:r>
        <w:rPr>
          <w:i/>
        </w:rPr>
        <w:t>Ex : heures de main d’œuvre directe, heure de machine, quantité de matières achetées …</w:t>
      </w:r>
    </w:p>
    <w:p w14:paraId="7338AA60" w14:textId="77777777" w:rsidR="001D07E6" w:rsidRDefault="001D07E6" w:rsidP="001D07E6">
      <w:pPr>
        <w:pStyle w:val="Paragraphedeliste"/>
        <w:ind w:left="1440"/>
      </w:pPr>
    </w:p>
    <w:p w14:paraId="5FED1CD5" w14:textId="77777777" w:rsidR="001D07E6" w:rsidRDefault="001D07E6" w:rsidP="001D07E6">
      <w:pPr>
        <w:pStyle w:val="Paragraphedeliste"/>
        <w:ind w:left="1440"/>
      </w:pPr>
    </w:p>
    <w:p w14:paraId="2678103D" w14:textId="77777777" w:rsidR="00117B55" w:rsidRPr="00C24155" w:rsidRDefault="00117B55" w:rsidP="00117B55">
      <w:pPr>
        <w:pStyle w:val="Paragraphedeliste"/>
        <w:numPr>
          <w:ilvl w:val="1"/>
          <w:numId w:val="19"/>
        </w:numPr>
      </w:pPr>
      <w:r>
        <w:t xml:space="preserve">Cout de l’UO = </w:t>
      </w:r>
      <m:oMath>
        <m:f>
          <m:fPr>
            <m:ctrlPr>
              <w:rPr>
                <w:rFonts w:ascii="Cambria Math" w:hAnsi="Cambria Math"/>
                <w:i/>
                <w:sz w:val="24"/>
              </w:rPr>
            </m:ctrlPr>
          </m:fPr>
          <m:num>
            <m:r>
              <w:rPr>
                <w:rFonts w:ascii="Cambria Math" w:hAnsi="Cambria Math"/>
                <w:sz w:val="24"/>
              </w:rPr>
              <m:t>Coût du centre d'analyse</m:t>
            </m:r>
          </m:num>
          <m:den>
            <m:r>
              <w:rPr>
                <w:rFonts w:ascii="Cambria Math" w:hAnsi="Cambria Math"/>
                <w:sz w:val="24"/>
              </w:rPr>
              <m:t xml:space="preserve">Nombre </m:t>
            </m:r>
            <m:sSup>
              <m:sSupPr>
                <m:ctrlPr>
                  <w:rPr>
                    <w:rFonts w:ascii="Cambria Math" w:hAnsi="Cambria Math"/>
                    <w:i/>
                    <w:sz w:val="24"/>
                  </w:rPr>
                </m:ctrlPr>
              </m:sSupPr>
              <m:e>
                <m:r>
                  <w:rPr>
                    <w:rFonts w:ascii="Cambria Math" w:hAnsi="Cambria Math"/>
                    <w:sz w:val="24"/>
                  </w:rPr>
                  <m:t>d</m:t>
                </m:r>
              </m:e>
              <m:sup>
                <m:r>
                  <w:rPr>
                    <w:rFonts w:ascii="Cambria Math" w:hAnsi="Cambria Math"/>
                    <w:sz w:val="24"/>
                  </w:rPr>
                  <m:t>'</m:t>
                </m:r>
              </m:sup>
            </m:sSup>
            <m:r>
              <w:rPr>
                <w:rFonts w:ascii="Cambria Math" w:hAnsi="Cambria Math"/>
                <w:sz w:val="24"/>
              </w:rPr>
              <m:t>UO du centre d'analyse</m:t>
            </m:r>
          </m:den>
        </m:f>
      </m:oMath>
      <w:r w:rsidR="00C24155">
        <w:rPr>
          <w:rFonts w:eastAsiaTheme="minorEastAsia"/>
          <w:sz w:val="24"/>
        </w:rPr>
        <w:br/>
      </w:r>
    </w:p>
    <w:p w14:paraId="6713CD79" w14:textId="77777777" w:rsidR="00C24155" w:rsidRDefault="00C24155" w:rsidP="00C24155">
      <w:pPr>
        <w:pStyle w:val="Paragraphedeliste"/>
        <w:numPr>
          <w:ilvl w:val="0"/>
          <w:numId w:val="19"/>
        </w:numPr>
      </w:pPr>
      <w:r w:rsidRPr="00C24155">
        <w:rPr>
          <w:b/>
        </w:rPr>
        <w:t>Centres de structure</w:t>
      </w:r>
      <w:r>
        <w:t xml:space="preserve"> : taux de frais = taux d’activité sans activité physique. </w:t>
      </w:r>
    </w:p>
    <w:p w14:paraId="7DBE8893" w14:textId="77777777" w:rsidR="00C24155" w:rsidRPr="00C24155" w:rsidRDefault="00C24155" w:rsidP="00C24155">
      <w:pPr>
        <w:pStyle w:val="Paragraphedeliste"/>
        <w:numPr>
          <w:ilvl w:val="1"/>
          <w:numId w:val="19"/>
        </w:numPr>
      </w:pPr>
      <w:r w:rsidRPr="00C24155">
        <w:t xml:space="preserve">Taux de frais = </w:t>
      </w:r>
      <m:oMath>
        <m:f>
          <m:fPr>
            <m:ctrlPr>
              <w:rPr>
                <w:rFonts w:ascii="Cambria Math" w:hAnsi="Cambria Math"/>
                <w:i/>
                <w:sz w:val="24"/>
              </w:rPr>
            </m:ctrlPr>
          </m:fPr>
          <m:num>
            <m:r>
              <w:rPr>
                <w:rFonts w:ascii="Cambria Math" w:hAnsi="Cambria Math"/>
                <w:sz w:val="24"/>
              </w:rPr>
              <m:t xml:space="preserve">Total des charges du centre </m:t>
            </m:r>
            <m:sSup>
              <m:sSupPr>
                <m:ctrlPr>
                  <w:rPr>
                    <w:rFonts w:ascii="Cambria Math" w:hAnsi="Cambria Math"/>
                    <w:i/>
                    <w:sz w:val="24"/>
                  </w:rPr>
                </m:ctrlPr>
              </m:sSupPr>
              <m:e>
                <m:r>
                  <w:rPr>
                    <w:rFonts w:ascii="Cambria Math" w:hAnsi="Cambria Math"/>
                    <w:sz w:val="24"/>
                  </w:rPr>
                  <m:t>d</m:t>
                </m:r>
              </m:e>
              <m:sup>
                <m:r>
                  <w:rPr>
                    <w:rFonts w:ascii="Cambria Math" w:hAnsi="Cambria Math"/>
                    <w:sz w:val="24"/>
                  </w:rPr>
                  <m:t>'</m:t>
                </m:r>
              </m:sup>
            </m:sSup>
            <m:r>
              <w:rPr>
                <w:rFonts w:ascii="Cambria Math" w:hAnsi="Cambria Math"/>
                <w:sz w:val="24"/>
              </w:rPr>
              <m:t>analyse</m:t>
            </m:r>
          </m:num>
          <m:den>
            <m:r>
              <w:rPr>
                <w:rFonts w:ascii="Cambria Math" w:hAnsi="Cambria Math"/>
                <w:sz w:val="24"/>
              </w:rPr>
              <m:t>Assiette de répartition</m:t>
            </m:r>
          </m:den>
        </m:f>
        <m:r>
          <w:rPr>
            <w:rFonts w:ascii="Cambria Math" w:hAnsi="Cambria Math"/>
            <w:sz w:val="24"/>
          </w:rPr>
          <m:t xml:space="preserve"> x 100</m:t>
        </m:r>
      </m:oMath>
    </w:p>
    <w:p w14:paraId="118A65A4" w14:textId="77777777" w:rsidR="00C437E5" w:rsidRDefault="00C437E5" w:rsidP="00C24155">
      <w:pPr>
        <w:jc w:val="both"/>
      </w:pPr>
    </w:p>
    <w:p w14:paraId="056A1056" w14:textId="77777777" w:rsidR="00C24155" w:rsidRPr="00F333D8" w:rsidRDefault="007C6ACF" w:rsidP="00C24155">
      <w:pPr>
        <w:jc w:val="both"/>
        <w:rPr>
          <w:b/>
          <w:sz w:val="24"/>
        </w:rPr>
      </w:pPr>
      <w:r>
        <w:rPr>
          <w:b/>
          <w:sz w:val="24"/>
          <w:u w:val="single"/>
        </w:rPr>
        <w:t xml:space="preserve">VOIR </w:t>
      </w:r>
      <w:r w:rsidR="00C24155" w:rsidRPr="00C24155">
        <w:rPr>
          <w:b/>
          <w:sz w:val="24"/>
          <w:u w:val="single"/>
        </w:rPr>
        <w:t>APPLICATION</w:t>
      </w:r>
      <w:r>
        <w:rPr>
          <w:b/>
          <w:sz w:val="24"/>
          <w:u w:val="single"/>
        </w:rPr>
        <w:t xml:space="preserve"> 1 et 2</w:t>
      </w:r>
      <w:r w:rsidR="00F333D8">
        <w:rPr>
          <w:b/>
          <w:sz w:val="24"/>
          <w:u w:val="single"/>
        </w:rPr>
        <w:t xml:space="preserve"> : </w:t>
      </w:r>
      <w:r w:rsidR="00F333D8" w:rsidRPr="00F333D8">
        <w:rPr>
          <w:b/>
          <w:sz w:val="24"/>
        </w:rPr>
        <w:t xml:space="preserve">calcul de l’unité d’œuvre dans les centres. </w:t>
      </w:r>
      <w:r w:rsidR="00C24155" w:rsidRPr="00F333D8">
        <w:rPr>
          <w:b/>
          <w:sz w:val="24"/>
        </w:rPr>
        <w:t xml:space="preserve"> </w:t>
      </w:r>
    </w:p>
    <w:p w14:paraId="510158DB" w14:textId="77777777" w:rsidR="00C24155" w:rsidRDefault="00C24155" w:rsidP="00C24155">
      <w:pPr>
        <w:jc w:val="both"/>
      </w:pPr>
    </w:p>
    <w:p w14:paraId="3BBAAA71" w14:textId="77777777" w:rsidR="000E31FB" w:rsidRDefault="000E31FB" w:rsidP="000E31FB">
      <w:pPr>
        <w:pStyle w:val="Titre2"/>
        <w:numPr>
          <w:ilvl w:val="1"/>
          <w:numId w:val="16"/>
        </w:numPr>
      </w:pPr>
      <w:r>
        <w:t xml:space="preserve">Distinctions centres principaux et auxiliaires. </w:t>
      </w:r>
    </w:p>
    <w:p w14:paraId="03298593" w14:textId="77777777" w:rsidR="000E31FB" w:rsidRPr="000E31FB" w:rsidRDefault="000E31FB" w:rsidP="00746127">
      <w:pPr>
        <w:pStyle w:val="Paragraphedeliste"/>
        <w:numPr>
          <w:ilvl w:val="0"/>
          <w:numId w:val="19"/>
        </w:numPr>
        <w:jc w:val="both"/>
      </w:pPr>
      <w:r>
        <w:rPr>
          <w:b/>
        </w:rPr>
        <w:t xml:space="preserve">Centres auxiliaires : </w:t>
      </w:r>
      <w:r>
        <w:t xml:space="preserve">centre d’analyse dont les coûts sont imputés à d’autres centres auxiliaires et/ou principaux. </w:t>
      </w:r>
      <w:r>
        <w:rPr>
          <w:i/>
        </w:rPr>
        <w:t xml:space="preserve">Ex : la gestion du personnel, la gestion du matériel, les prestations connexes,… </w:t>
      </w:r>
    </w:p>
    <w:p w14:paraId="6AF607AE" w14:textId="77777777" w:rsidR="000E31FB" w:rsidRPr="00F333D8" w:rsidRDefault="000E31FB" w:rsidP="00746127">
      <w:pPr>
        <w:pStyle w:val="Paragraphedeliste"/>
        <w:numPr>
          <w:ilvl w:val="0"/>
          <w:numId w:val="19"/>
        </w:numPr>
        <w:jc w:val="both"/>
      </w:pPr>
      <w:r>
        <w:rPr>
          <w:b/>
        </w:rPr>
        <w:t xml:space="preserve">Centres principaux : </w:t>
      </w:r>
      <w:r>
        <w:t xml:space="preserve">centre d’analyse dont les coûts sont imputés directement aux coûts des produits. </w:t>
      </w:r>
      <w:r w:rsidR="00F333D8">
        <w:rPr>
          <w:i/>
        </w:rPr>
        <w:t>Ex : c</w:t>
      </w:r>
      <w:r w:rsidR="00F333D8" w:rsidRPr="00B85A07">
        <w:rPr>
          <w:i/>
        </w:rPr>
        <w:t xml:space="preserve">entre d’approvisionnement, centre de production, centre de distribution. </w:t>
      </w:r>
    </w:p>
    <w:p w14:paraId="7B918FA7" w14:textId="77777777" w:rsidR="00F333D8" w:rsidRDefault="00F333D8" w:rsidP="00F333D8"/>
    <w:p w14:paraId="1A40EABD" w14:textId="77777777" w:rsidR="00F333D8" w:rsidRDefault="00F333D8" w:rsidP="00F333D8">
      <w:pPr>
        <w:pStyle w:val="Titre2"/>
        <w:numPr>
          <w:ilvl w:val="1"/>
          <w:numId w:val="16"/>
        </w:numPr>
      </w:pPr>
      <w:r>
        <w:t xml:space="preserve">Répartition des charges indirectes. </w:t>
      </w:r>
    </w:p>
    <w:p w14:paraId="477A0BE2" w14:textId="77777777" w:rsidR="00F333D8" w:rsidRDefault="00F333D8" w:rsidP="00F333D8">
      <w:r w:rsidRPr="00F333D8">
        <w:rPr>
          <w:u w:val="single"/>
        </w:rPr>
        <w:t>Etape 1. Répartition primaire :</w:t>
      </w:r>
      <w:r>
        <w:t xml:space="preserve"> le montant de chaque charge indirecte est réparti dans les centres principaux et auxiliaires </w:t>
      </w:r>
      <w:r>
        <w:sym w:font="Wingdings" w:char="F0E0"/>
      </w:r>
      <w:r>
        <w:t xml:space="preserve"> Calcul du coût de chaque centre auxiliaire et principal. </w:t>
      </w:r>
    </w:p>
    <w:p w14:paraId="3026B1EC" w14:textId="77777777" w:rsidR="00F333D8" w:rsidRPr="00F333D8" w:rsidRDefault="00F333D8" w:rsidP="00F333D8">
      <w:pPr>
        <w:rPr>
          <w:sz w:val="24"/>
        </w:rPr>
      </w:pPr>
      <w:r w:rsidRPr="00F333D8">
        <w:rPr>
          <w:u w:val="single"/>
        </w:rPr>
        <w:t>Etape 2. Répartition secondaire :</w:t>
      </w:r>
      <w:r>
        <w:t xml:space="preserve"> les charges des centres auxiliaires sont </w:t>
      </w:r>
      <w:r w:rsidRPr="00F333D8">
        <w:rPr>
          <w:b/>
        </w:rPr>
        <w:t>réparties</w:t>
      </w:r>
      <w:r>
        <w:t xml:space="preserve"> dans les centres principaux. </w:t>
      </w:r>
      <w:r>
        <w:rPr>
          <w:sz w:val="24"/>
        </w:rPr>
        <w:t>Après répartition secondaire, coût centre auxiliaire = 0</w:t>
      </w:r>
    </w:p>
    <w:p w14:paraId="578475E3" w14:textId="77777777" w:rsidR="00F333D8" w:rsidRDefault="00F333D8" w:rsidP="00B85A07">
      <w:pPr>
        <w:rPr>
          <w:b/>
          <w:sz w:val="24"/>
        </w:rPr>
      </w:pPr>
      <w:r w:rsidRPr="00F333D8">
        <w:rPr>
          <w:b/>
          <w:sz w:val="24"/>
        </w:rPr>
        <w:t xml:space="preserve">Coût du centre principal = </w:t>
      </w:r>
      <w:r w:rsidR="00B85A07">
        <w:rPr>
          <w:b/>
          <w:sz w:val="24"/>
        </w:rPr>
        <w:t xml:space="preserve"> </w:t>
      </w:r>
      <w:r w:rsidRPr="00F333D8">
        <w:rPr>
          <w:b/>
          <w:sz w:val="24"/>
        </w:rPr>
        <w:t>total répartition pr</w:t>
      </w:r>
      <w:r>
        <w:rPr>
          <w:b/>
          <w:sz w:val="24"/>
        </w:rPr>
        <w:t xml:space="preserve">imaire </w:t>
      </w:r>
      <w:r w:rsidR="00B85A07">
        <w:rPr>
          <w:b/>
          <w:sz w:val="24"/>
        </w:rPr>
        <w:br/>
        <w:t xml:space="preserve">                                               </w:t>
      </w:r>
      <w:r>
        <w:rPr>
          <w:b/>
          <w:sz w:val="24"/>
        </w:rPr>
        <w:t>+ quote-part reçue du/</w:t>
      </w:r>
      <w:r w:rsidRPr="00F333D8">
        <w:rPr>
          <w:b/>
          <w:sz w:val="24"/>
        </w:rPr>
        <w:t>des centres auxiliaires.</w:t>
      </w:r>
    </w:p>
    <w:p w14:paraId="0FAB666D" w14:textId="77777777" w:rsidR="00AF4285" w:rsidRDefault="00AF4285">
      <w:pPr>
        <w:rPr>
          <w:sz w:val="24"/>
        </w:rPr>
      </w:pPr>
    </w:p>
    <w:p w14:paraId="3D8518B9" w14:textId="77777777" w:rsidR="00F333D8" w:rsidRPr="00F333D8" w:rsidRDefault="00F333D8">
      <w:pPr>
        <w:rPr>
          <w:sz w:val="24"/>
        </w:rPr>
      </w:pPr>
      <w:r>
        <w:rPr>
          <w:sz w:val="24"/>
        </w:rPr>
        <w:t>Tab</w:t>
      </w:r>
      <w:r w:rsidR="00746127">
        <w:rPr>
          <w:sz w:val="24"/>
        </w:rPr>
        <w:t xml:space="preserve">leau de répartition primaire : </w:t>
      </w:r>
    </w:p>
    <w:tbl>
      <w:tblPr>
        <w:tblStyle w:val="Grilledutableau"/>
        <w:tblW w:w="0" w:type="auto"/>
        <w:tblLook w:val="04A0" w:firstRow="1" w:lastRow="0" w:firstColumn="1" w:lastColumn="0" w:noHBand="0" w:noVBand="1"/>
      </w:tblPr>
      <w:tblGrid>
        <w:gridCol w:w="2265"/>
        <w:gridCol w:w="2241"/>
        <w:gridCol w:w="764"/>
        <w:gridCol w:w="821"/>
        <w:gridCol w:w="707"/>
        <w:gridCol w:w="840"/>
        <w:gridCol w:w="12"/>
        <w:gridCol w:w="850"/>
        <w:gridCol w:w="704"/>
      </w:tblGrid>
      <w:tr w:rsidR="00F333D8" w14:paraId="493DC547" w14:textId="77777777" w:rsidTr="00F333D8">
        <w:trPr>
          <w:trHeight w:val="730"/>
        </w:trPr>
        <w:tc>
          <w:tcPr>
            <w:tcW w:w="2265" w:type="dxa"/>
            <w:vMerge w:val="restart"/>
          </w:tcPr>
          <w:p w14:paraId="361242BB" w14:textId="77777777" w:rsidR="00F333D8" w:rsidRPr="00746127" w:rsidRDefault="00F333D8" w:rsidP="00F333D8">
            <w:pPr>
              <w:jc w:val="center"/>
              <w:rPr>
                <w:b/>
              </w:rPr>
            </w:pPr>
            <w:r w:rsidRPr="00746127">
              <w:rPr>
                <w:b/>
              </w:rPr>
              <w:t>Charges incorporables (comptabilité de gestion)</w:t>
            </w:r>
          </w:p>
        </w:tc>
        <w:tc>
          <w:tcPr>
            <w:tcW w:w="2241" w:type="dxa"/>
            <w:vMerge w:val="restart"/>
          </w:tcPr>
          <w:p w14:paraId="7596CB62" w14:textId="77777777" w:rsidR="00F333D8" w:rsidRPr="00746127" w:rsidRDefault="00F333D8" w:rsidP="00F333D8">
            <w:pPr>
              <w:jc w:val="center"/>
              <w:rPr>
                <w:b/>
              </w:rPr>
            </w:pPr>
            <w:r w:rsidRPr="00746127">
              <w:rPr>
                <w:b/>
              </w:rPr>
              <w:t>Montant à répartir</w:t>
            </w:r>
          </w:p>
        </w:tc>
        <w:tc>
          <w:tcPr>
            <w:tcW w:w="2292" w:type="dxa"/>
            <w:gridSpan w:val="3"/>
          </w:tcPr>
          <w:p w14:paraId="35056B6F" w14:textId="77777777" w:rsidR="00F333D8" w:rsidRPr="00746127" w:rsidRDefault="00F333D8" w:rsidP="00F333D8">
            <w:pPr>
              <w:jc w:val="center"/>
              <w:rPr>
                <w:b/>
              </w:rPr>
            </w:pPr>
            <w:r w:rsidRPr="00746127">
              <w:rPr>
                <w:b/>
              </w:rPr>
              <w:t>Centres auxiliaires</w:t>
            </w:r>
          </w:p>
        </w:tc>
        <w:tc>
          <w:tcPr>
            <w:tcW w:w="2406" w:type="dxa"/>
            <w:gridSpan w:val="4"/>
          </w:tcPr>
          <w:p w14:paraId="2BF74C7B" w14:textId="77777777" w:rsidR="00F333D8" w:rsidRPr="00746127" w:rsidRDefault="00F333D8" w:rsidP="00F333D8">
            <w:pPr>
              <w:jc w:val="center"/>
              <w:rPr>
                <w:b/>
              </w:rPr>
            </w:pPr>
            <w:r w:rsidRPr="00746127">
              <w:rPr>
                <w:b/>
              </w:rPr>
              <w:t>Centre principaux.</w:t>
            </w:r>
          </w:p>
        </w:tc>
      </w:tr>
      <w:tr w:rsidR="00AF4285" w14:paraId="544067DC" w14:textId="77777777" w:rsidTr="00746127">
        <w:trPr>
          <w:trHeight w:val="255"/>
        </w:trPr>
        <w:tc>
          <w:tcPr>
            <w:tcW w:w="2265" w:type="dxa"/>
            <w:vMerge/>
          </w:tcPr>
          <w:p w14:paraId="61C61047" w14:textId="77777777" w:rsidR="00AF4285" w:rsidRPr="00746127" w:rsidRDefault="00AF4285" w:rsidP="00F333D8">
            <w:pPr>
              <w:jc w:val="center"/>
              <w:rPr>
                <w:b/>
              </w:rPr>
            </w:pPr>
          </w:p>
        </w:tc>
        <w:tc>
          <w:tcPr>
            <w:tcW w:w="2241" w:type="dxa"/>
            <w:vMerge/>
          </w:tcPr>
          <w:p w14:paraId="066B6BAF" w14:textId="77777777" w:rsidR="00AF4285" w:rsidRPr="00746127" w:rsidRDefault="00AF4285" w:rsidP="00F333D8">
            <w:pPr>
              <w:jc w:val="center"/>
              <w:rPr>
                <w:b/>
              </w:rPr>
            </w:pPr>
          </w:p>
        </w:tc>
        <w:tc>
          <w:tcPr>
            <w:tcW w:w="764" w:type="dxa"/>
          </w:tcPr>
          <w:p w14:paraId="620EBDA9" w14:textId="77777777" w:rsidR="00AF4285" w:rsidRPr="00746127" w:rsidRDefault="00AF4285" w:rsidP="00F333D8">
            <w:pPr>
              <w:jc w:val="center"/>
              <w:rPr>
                <w:b/>
              </w:rPr>
            </w:pPr>
            <w:r w:rsidRPr="00746127">
              <w:rPr>
                <w:b/>
              </w:rPr>
              <w:t>A</w:t>
            </w:r>
          </w:p>
        </w:tc>
        <w:tc>
          <w:tcPr>
            <w:tcW w:w="821" w:type="dxa"/>
          </w:tcPr>
          <w:p w14:paraId="6A8EF939" w14:textId="77777777" w:rsidR="00AF4285" w:rsidRPr="00746127" w:rsidRDefault="00AF4285" w:rsidP="00F333D8">
            <w:pPr>
              <w:jc w:val="center"/>
              <w:rPr>
                <w:b/>
              </w:rPr>
            </w:pPr>
            <w:r w:rsidRPr="00746127">
              <w:rPr>
                <w:b/>
              </w:rPr>
              <w:t>B</w:t>
            </w:r>
          </w:p>
        </w:tc>
        <w:tc>
          <w:tcPr>
            <w:tcW w:w="707" w:type="dxa"/>
          </w:tcPr>
          <w:p w14:paraId="09FBF114" w14:textId="77777777" w:rsidR="00AF4285" w:rsidRPr="00746127" w:rsidRDefault="00AF4285" w:rsidP="00F333D8">
            <w:pPr>
              <w:jc w:val="center"/>
              <w:rPr>
                <w:b/>
              </w:rPr>
            </w:pPr>
            <w:r w:rsidRPr="00746127">
              <w:rPr>
                <w:b/>
              </w:rPr>
              <w:t>C</w:t>
            </w:r>
          </w:p>
        </w:tc>
        <w:tc>
          <w:tcPr>
            <w:tcW w:w="852" w:type="dxa"/>
            <w:gridSpan w:val="2"/>
          </w:tcPr>
          <w:p w14:paraId="215C38ED" w14:textId="77777777" w:rsidR="00AF4285" w:rsidRPr="00746127" w:rsidRDefault="00AF4285" w:rsidP="00F333D8">
            <w:pPr>
              <w:jc w:val="center"/>
              <w:rPr>
                <w:b/>
              </w:rPr>
            </w:pPr>
            <w:r w:rsidRPr="00746127">
              <w:rPr>
                <w:b/>
              </w:rPr>
              <w:t>D</w:t>
            </w:r>
          </w:p>
        </w:tc>
        <w:tc>
          <w:tcPr>
            <w:tcW w:w="850" w:type="dxa"/>
          </w:tcPr>
          <w:p w14:paraId="6A009976" w14:textId="77777777" w:rsidR="00AF4285" w:rsidRPr="00746127" w:rsidRDefault="00AF4285" w:rsidP="00F333D8">
            <w:pPr>
              <w:jc w:val="center"/>
              <w:rPr>
                <w:b/>
              </w:rPr>
            </w:pPr>
            <w:r w:rsidRPr="00746127">
              <w:rPr>
                <w:b/>
              </w:rPr>
              <w:t>E</w:t>
            </w:r>
          </w:p>
        </w:tc>
        <w:tc>
          <w:tcPr>
            <w:tcW w:w="704" w:type="dxa"/>
          </w:tcPr>
          <w:p w14:paraId="340C3B01" w14:textId="77777777" w:rsidR="00AF4285" w:rsidRPr="00746127" w:rsidRDefault="00AF4285" w:rsidP="00F333D8">
            <w:pPr>
              <w:jc w:val="center"/>
              <w:rPr>
                <w:b/>
              </w:rPr>
            </w:pPr>
            <w:r w:rsidRPr="00746127">
              <w:rPr>
                <w:b/>
              </w:rPr>
              <w:t>F</w:t>
            </w:r>
          </w:p>
        </w:tc>
      </w:tr>
      <w:tr w:rsidR="00AF4285" w14:paraId="1BB33A7B" w14:textId="77777777" w:rsidTr="00746127">
        <w:trPr>
          <w:trHeight w:val="259"/>
        </w:trPr>
        <w:tc>
          <w:tcPr>
            <w:tcW w:w="2265" w:type="dxa"/>
          </w:tcPr>
          <w:p w14:paraId="45DD3C3D" w14:textId="77777777" w:rsidR="00AF4285" w:rsidRPr="00746127" w:rsidRDefault="00AF4285"/>
        </w:tc>
        <w:tc>
          <w:tcPr>
            <w:tcW w:w="2241" w:type="dxa"/>
          </w:tcPr>
          <w:p w14:paraId="535CB76B" w14:textId="77777777" w:rsidR="00AF4285" w:rsidRPr="00746127" w:rsidRDefault="00AF4285"/>
        </w:tc>
        <w:tc>
          <w:tcPr>
            <w:tcW w:w="764" w:type="dxa"/>
          </w:tcPr>
          <w:p w14:paraId="26F553BF" w14:textId="77777777" w:rsidR="00AF4285" w:rsidRPr="00746127" w:rsidRDefault="00AF4285"/>
        </w:tc>
        <w:tc>
          <w:tcPr>
            <w:tcW w:w="821" w:type="dxa"/>
          </w:tcPr>
          <w:p w14:paraId="2C9A91FE" w14:textId="77777777" w:rsidR="000155A4" w:rsidRPr="00746127" w:rsidRDefault="000155A4"/>
        </w:tc>
        <w:tc>
          <w:tcPr>
            <w:tcW w:w="707" w:type="dxa"/>
          </w:tcPr>
          <w:p w14:paraId="40DF7B50" w14:textId="77777777" w:rsidR="00AF4285" w:rsidRPr="00746127" w:rsidRDefault="00AF4285"/>
        </w:tc>
        <w:tc>
          <w:tcPr>
            <w:tcW w:w="840" w:type="dxa"/>
          </w:tcPr>
          <w:p w14:paraId="588A9530" w14:textId="77777777" w:rsidR="00AF4285" w:rsidRPr="00746127" w:rsidRDefault="00AF4285"/>
        </w:tc>
        <w:tc>
          <w:tcPr>
            <w:tcW w:w="862" w:type="dxa"/>
            <w:gridSpan w:val="2"/>
          </w:tcPr>
          <w:p w14:paraId="578A2635" w14:textId="77777777" w:rsidR="00AF4285" w:rsidRPr="00746127" w:rsidRDefault="00AF4285"/>
        </w:tc>
        <w:tc>
          <w:tcPr>
            <w:tcW w:w="704" w:type="dxa"/>
          </w:tcPr>
          <w:p w14:paraId="69E89BF0" w14:textId="77777777" w:rsidR="00AF4285" w:rsidRPr="00746127" w:rsidRDefault="00AF4285"/>
        </w:tc>
      </w:tr>
      <w:tr w:rsidR="00AF4285" w14:paraId="2CE7C0B6" w14:textId="77777777" w:rsidTr="000155A4">
        <w:tc>
          <w:tcPr>
            <w:tcW w:w="2265" w:type="dxa"/>
          </w:tcPr>
          <w:p w14:paraId="45D73090" w14:textId="77777777" w:rsidR="00AF4285" w:rsidRPr="00746127" w:rsidRDefault="00AF4285">
            <w:r w:rsidRPr="00746127">
              <w:t xml:space="preserve">Totaux répartition primaire. </w:t>
            </w:r>
          </w:p>
        </w:tc>
        <w:tc>
          <w:tcPr>
            <w:tcW w:w="2241" w:type="dxa"/>
          </w:tcPr>
          <w:p w14:paraId="6B6EE0C6" w14:textId="77777777" w:rsidR="00AF4285" w:rsidRPr="00746127" w:rsidRDefault="00AF4285"/>
        </w:tc>
        <w:tc>
          <w:tcPr>
            <w:tcW w:w="764" w:type="dxa"/>
          </w:tcPr>
          <w:p w14:paraId="17B1EB51" w14:textId="77777777" w:rsidR="00AF4285" w:rsidRPr="00746127" w:rsidRDefault="00AF4285"/>
        </w:tc>
        <w:tc>
          <w:tcPr>
            <w:tcW w:w="821" w:type="dxa"/>
          </w:tcPr>
          <w:p w14:paraId="1F9D3EBF" w14:textId="77777777" w:rsidR="00AF4285" w:rsidRPr="00746127" w:rsidRDefault="00AF4285"/>
        </w:tc>
        <w:tc>
          <w:tcPr>
            <w:tcW w:w="707" w:type="dxa"/>
          </w:tcPr>
          <w:p w14:paraId="6E7CE154" w14:textId="77777777" w:rsidR="00AF4285" w:rsidRPr="00746127" w:rsidRDefault="00AF4285"/>
        </w:tc>
        <w:tc>
          <w:tcPr>
            <w:tcW w:w="840" w:type="dxa"/>
          </w:tcPr>
          <w:p w14:paraId="47DD3958" w14:textId="77777777" w:rsidR="00AF4285" w:rsidRPr="00746127" w:rsidRDefault="00AF4285"/>
        </w:tc>
        <w:tc>
          <w:tcPr>
            <w:tcW w:w="862" w:type="dxa"/>
            <w:gridSpan w:val="2"/>
          </w:tcPr>
          <w:p w14:paraId="0CEDB91E" w14:textId="77777777" w:rsidR="00AF4285" w:rsidRPr="00746127" w:rsidRDefault="00AF4285"/>
        </w:tc>
        <w:tc>
          <w:tcPr>
            <w:tcW w:w="704" w:type="dxa"/>
          </w:tcPr>
          <w:p w14:paraId="16E366B4" w14:textId="77777777" w:rsidR="00AF4285" w:rsidRPr="00746127" w:rsidRDefault="00AF4285"/>
        </w:tc>
      </w:tr>
      <w:tr w:rsidR="00AF4285" w14:paraId="3B3AB028" w14:textId="77777777" w:rsidTr="000155A4">
        <w:tc>
          <w:tcPr>
            <w:tcW w:w="2265" w:type="dxa"/>
          </w:tcPr>
          <w:p w14:paraId="51D8DE3B" w14:textId="77777777" w:rsidR="00AF4285" w:rsidRPr="00746127" w:rsidRDefault="00AF4285">
            <w:r w:rsidRPr="00746127">
              <w:t>Répartition secondaire</w:t>
            </w:r>
          </w:p>
        </w:tc>
        <w:tc>
          <w:tcPr>
            <w:tcW w:w="2241" w:type="dxa"/>
          </w:tcPr>
          <w:p w14:paraId="07D26EA7" w14:textId="77777777" w:rsidR="00AF4285" w:rsidRPr="00746127" w:rsidRDefault="00AF4285"/>
        </w:tc>
        <w:tc>
          <w:tcPr>
            <w:tcW w:w="764" w:type="dxa"/>
          </w:tcPr>
          <w:p w14:paraId="2EEBC1C1" w14:textId="77777777" w:rsidR="00AF4285" w:rsidRPr="00746127" w:rsidRDefault="00AF4285"/>
        </w:tc>
        <w:tc>
          <w:tcPr>
            <w:tcW w:w="821" w:type="dxa"/>
          </w:tcPr>
          <w:p w14:paraId="2574CEB9" w14:textId="77777777" w:rsidR="00AF4285" w:rsidRPr="00746127" w:rsidRDefault="00AF4285"/>
        </w:tc>
        <w:tc>
          <w:tcPr>
            <w:tcW w:w="707" w:type="dxa"/>
          </w:tcPr>
          <w:p w14:paraId="0D2B5F3C" w14:textId="77777777" w:rsidR="00AF4285" w:rsidRPr="00746127" w:rsidRDefault="00AF4285"/>
        </w:tc>
        <w:tc>
          <w:tcPr>
            <w:tcW w:w="840" w:type="dxa"/>
          </w:tcPr>
          <w:p w14:paraId="53F133F9" w14:textId="77777777" w:rsidR="00AF4285" w:rsidRPr="00746127" w:rsidRDefault="00AF4285"/>
        </w:tc>
        <w:tc>
          <w:tcPr>
            <w:tcW w:w="862" w:type="dxa"/>
            <w:gridSpan w:val="2"/>
          </w:tcPr>
          <w:p w14:paraId="6763B39E" w14:textId="77777777" w:rsidR="00AF4285" w:rsidRPr="00746127" w:rsidRDefault="00AF4285"/>
        </w:tc>
        <w:tc>
          <w:tcPr>
            <w:tcW w:w="704" w:type="dxa"/>
          </w:tcPr>
          <w:p w14:paraId="76EE9E45" w14:textId="77777777" w:rsidR="00AF4285" w:rsidRPr="00746127" w:rsidRDefault="00AF4285"/>
        </w:tc>
      </w:tr>
      <w:tr w:rsidR="00AF4285" w14:paraId="6D166877" w14:textId="77777777" w:rsidTr="000155A4">
        <w:tc>
          <w:tcPr>
            <w:tcW w:w="2265" w:type="dxa"/>
          </w:tcPr>
          <w:p w14:paraId="5584C85F" w14:textId="77777777" w:rsidR="00AF4285" w:rsidRPr="00746127" w:rsidRDefault="00AF4285">
            <w:r w:rsidRPr="00746127">
              <w:t>Centre auxiliaire 1</w:t>
            </w:r>
          </w:p>
        </w:tc>
        <w:tc>
          <w:tcPr>
            <w:tcW w:w="2241" w:type="dxa"/>
          </w:tcPr>
          <w:p w14:paraId="6207B62F" w14:textId="77777777" w:rsidR="00AF4285" w:rsidRPr="00746127" w:rsidRDefault="00AF4285"/>
        </w:tc>
        <w:tc>
          <w:tcPr>
            <w:tcW w:w="764" w:type="dxa"/>
          </w:tcPr>
          <w:p w14:paraId="5CE50276" w14:textId="77777777" w:rsidR="00AF4285" w:rsidRPr="00746127" w:rsidRDefault="00AF4285"/>
        </w:tc>
        <w:tc>
          <w:tcPr>
            <w:tcW w:w="821" w:type="dxa"/>
          </w:tcPr>
          <w:p w14:paraId="589C5D74" w14:textId="77777777" w:rsidR="00AF4285" w:rsidRPr="00746127" w:rsidRDefault="00AF4285"/>
        </w:tc>
        <w:tc>
          <w:tcPr>
            <w:tcW w:w="707" w:type="dxa"/>
          </w:tcPr>
          <w:p w14:paraId="01BA1D43" w14:textId="77777777" w:rsidR="00AF4285" w:rsidRPr="00746127" w:rsidRDefault="00AF4285"/>
        </w:tc>
        <w:tc>
          <w:tcPr>
            <w:tcW w:w="840" w:type="dxa"/>
          </w:tcPr>
          <w:p w14:paraId="5C0138F4" w14:textId="77777777" w:rsidR="00AF4285" w:rsidRPr="00746127" w:rsidRDefault="00AF4285"/>
        </w:tc>
        <w:tc>
          <w:tcPr>
            <w:tcW w:w="862" w:type="dxa"/>
            <w:gridSpan w:val="2"/>
          </w:tcPr>
          <w:p w14:paraId="35F2C987" w14:textId="77777777" w:rsidR="00AF4285" w:rsidRPr="00746127" w:rsidRDefault="00AF4285"/>
        </w:tc>
        <w:tc>
          <w:tcPr>
            <w:tcW w:w="704" w:type="dxa"/>
          </w:tcPr>
          <w:p w14:paraId="3E2A0534" w14:textId="77777777" w:rsidR="00AF4285" w:rsidRPr="00746127" w:rsidRDefault="00AF4285"/>
        </w:tc>
      </w:tr>
      <w:tr w:rsidR="00AF4285" w14:paraId="465D25D6" w14:textId="77777777" w:rsidTr="000155A4">
        <w:tc>
          <w:tcPr>
            <w:tcW w:w="2265" w:type="dxa"/>
          </w:tcPr>
          <w:p w14:paraId="0FB28F80" w14:textId="77777777" w:rsidR="00AF4285" w:rsidRPr="00746127" w:rsidRDefault="00AF4285">
            <w:r w:rsidRPr="00746127">
              <w:t>Centre auxiliaire 2</w:t>
            </w:r>
          </w:p>
        </w:tc>
        <w:tc>
          <w:tcPr>
            <w:tcW w:w="2241" w:type="dxa"/>
          </w:tcPr>
          <w:p w14:paraId="5037D520" w14:textId="77777777" w:rsidR="00AF4285" w:rsidRPr="00746127" w:rsidRDefault="00AF4285"/>
        </w:tc>
        <w:tc>
          <w:tcPr>
            <w:tcW w:w="764" w:type="dxa"/>
          </w:tcPr>
          <w:p w14:paraId="08F80C3D" w14:textId="77777777" w:rsidR="00AF4285" w:rsidRPr="00746127" w:rsidRDefault="00AF4285"/>
        </w:tc>
        <w:tc>
          <w:tcPr>
            <w:tcW w:w="821" w:type="dxa"/>
          </w:tcPr>
          <w:p w14:paraId="2EFA2AF2" w14:textId="77777777" w:rsidR="00AF4285" w:rsidRPr="00746127" w:rsidRDefault="00AF4285"/>
        </w:tc>
        <w:tc>
          <w:tcPr>
            <w:tcW w:w="707" w:type="dxa"/>
          </w:tcPr>
          <w:p w14:paraId="4E4E54E3" w14:textId="77777777" w:rsidR="00AF4285" w:rsidRPr="00746127" w:rsidRDefault="00AF4285"/>
        </w:tc>
        <w:tc>
          <w:tcPr>
            <w:tcW w:w="840" w:type="dxa"/>
          </w:tcPr>
          <w:p w14:paraId="2E1B738A" w14:textId="77777777" w:rsidR="00AF4285" w:rsidRPr="00746127" w:rsidRDefault="00AF4285"/>
        </w:tc>
        <w:tc>
          <w:tcPr>
            <w:tcW w:w="862" w:type="dxa"/>
            <w:gridSpan w:val="2"/>
          </w:tcPr>
          <w:p w14:paraId="6E2C3E43" w14:textId="77777777" w:rsidR="00AF4285" w:rsidRPr="00746127" w:rsidRDefault="00AF4285"/>
        </w:tc>
        <w:tc>
          <w:tcPr>
            <w:tcW w:w="704" w:type="dxa"/>
          </w:tcPr>
          <w:p w14:paraId="325D74F8" w14:textId="77777777" w:rsidR="00AF4285" w:rsidRPr="00746127" w:rsidRDefault="00AF4285"/>
        </w:tc>
      </w:tr>
      <w:tr w:rsidR="00AF4285" w14:paraId="49E2FF2A" w14:textId="77777777" w:rsidTr="000155A4">
        <w:tc>
          <w:tcPr>
            <w:tcW w:w="2265" w:type="dxa"/>
          </w:tcPr>
          <w:p w14:paraId="7E81511D" w14:textId="77777777" w:rsidR="00AF4285" w:rsidRPr="00746127" w:rsidRDefault="00AF4285">
            <w:r w:rsidRPr="00746127">
              <w:t>Centre auxiliaire 3</w:t>
            </w:r>
          </w:p>
        </w:tc>
        <w:tc>
          <w:tcPr>
            <w:tcW w:w="2241" w:type="dxa"/>
          </w:tcPr>
          <w:p w14:paraId="4211C596" w14:textId="77777777" w:rsidR="00AF4285" w:rsidRPr="00746127" w:rsidRDefault="00AF4285"/>
        </w:tc>
        <w:tc>
          <w:tcPr>
            <w:tcW w:w="764" w:type="dxa"/>
          </w:tcPr>
          <w:p w14:paraId="3ED5F5AA" w14:textId="77777777" w:rsidR="00AF4285" w:rsidRPr="00746127" w:rsidRDefault="00AF4285"/>
        </w:tc>
        <w:tc>
          <w:tcPr>
            <w:tcW w:w="821" w:type="dxa"/>
          </w:tcPr>
          <w:p w14:paraId="313E635C" w14:textId="77777777" w:rsidR="00AF4285" w:rsidRPr="00746127" w:rsidRDefault="00AF4285"/>
        </w:tc>
        <w:tc>
          <w:tcPr>
            <w:tcW w:w="707" w:type="dxa"/>
          </w:tcPr>
          <w:p w14:paraId="417689C7" w14:textId="77777777" w:rsidR="00AF4285" w:rsidRPr="00746127" w:rsidRDefault="00AF4285"/>
        </w:tc>
        <w:tc>
          <w:tcPr>
            <w:tcW w:w="840" w:type="dxa"/>
          </w:tcPr>
          <w:p w14:paraId="7B906A76" w14:textId="77777777" w:rsidR="00AF4285" w:rsidRPr="00746127" w:rsidRDefault="00AF4285"/>
        </w:tc>
        <w:tc>
          <w:tcPr>
            <w:tcW w:w="862" w:type="dxa"/>
            <w:gridSpan w:val="2"/>
          </w:tcPr>
          <w:p w14:paraId="6E512288" w14:textId="77777777" w:rsidR="00AF4285" w:rsidRPr="00746127" w:rsidRDefault="00AF4285"/>
        </w:tc>
        <w:tc>
          <w:tcPr>
            <w:tcW w:w="704" w:type="dxa"/>
          </w:tcPr>
          <w:p w14:paraId="39A6AA60" w14:textId="77777777" w:rsidR="00AF4285" w:rsidRPr="00746127" w:rsidRDefault="00AF4285"/>
        </w:tc>
      </w:tr>
      <w:tr w:rsidR="00AF4285" w14:paraId="1A7526E3" w14:textId="77777777" w:rsidTr="000155A4">
        <w:tc>
          <w:tcPr>
            <w:tcW w:w="2265" w:type="dxa"/>
          </w:tcPr>
          <w:p w14:paraId="2463C361" w14:textId="77777777" w:rsidR="00AF4285" w:rsidRPr="00746127" w:rsidRDefault="00AF4285">
            <w:r w:rsidRPr="00746127">
              <w:t xml:space="preserve">Totaux répartition secondaire </w:t>
            </w:r>
          </w:p>
        </w:tc>
        <w:tc>
          <w:tcPr>
            <w:tcW w:w="2241" w:type="dxa"/>
          </w:tcPr>
          <w:p w14:paraId="224B20E7" w14:textId="77777777" w:rsidR="00AF4285" w:rsidRPr="00746127" w:rsidRDefault="00AF4285"/>
        </w:tc>
        <w:tc>
          <w:tcPr>
            <w:tcW w:w="764" w:type="dxa"/>
          </w:tcPr>
          <w:p w14:paraId="373A0E64" w14:textId="77777777" w:rsidR="00AF4285" w:rsidRPr="00746127" w:rsidRDefault="00AF4285">
            <w:r w:rsidRPr="00746127">
              <w:t>0</w:t>
            </w:r>
          </w:p>
        </w:tc>
        <w:tc>
          <w:tcPr>
            <w:tcW w:w="821" w:type="dxa"/>
          </w:tcPr>
          <w:p w14:paraId="4946EF50" w14:textId="77777777" w:rsidR="00AF4285" w:rsidRPr="00746127" w:rsidRDefault="00AF4285">
            <w:r w:rsidRPr="00746127">
              <w:t>0</w:t>
            </w:r>
          </w:p>
        </w:tc>
        <w:tc>
          <w:tcPr>
            <w:tcW w:w="707" w:type="dxa"/>
          </w:tcPr>
          <w:p w14:paraId="4157B9DD" w14:textId="77777777" w:rsidR="00AF4285" w:rsidRPr="00746127" w:rsidRDefault="00AF4285">
            <w:r w:rsidRPr="00746127">
              <w:t>0</w:t>
            </w:r>
          </w:p>
        </w:tc>
        <w:tc>
          <w:tcPr>
            <w:tcW w:w="840" w:type="dxa"/>
          </w:tcPr>
          <w:p w14:paraId="5D82190B" w14:textId="77777777" w:rsidR="00AF4285" w:rsidRPr="00746127" w:rsidRDefault="00AF4285"/>
        </w:tc>
        <w:tc>
          <w:tcPr>
            <w:tcW w:w="862" w:type="dxa"/>
            <w:gridSpan w:val="2"/>
          </w:tcPr>
          <w:p w14:paraId="630798F4" w14:textId="77777777" w:rsidR="00AF4285" w:rsidRPr="00746127" w:rsidRDefault="00AF4285"/>
        </w:tc>
        <w:tc>
          <w:tcPr>
            <w:tcW w:w="704" w:type="dxa"/>
          </w:tcPr>
          <w:p w14:paraId="3583C04D" w14:textId="77777777" w:rsidR="00AF4285" w:rsidRPr="00746127" w:rsidRDefault="00AF4285"/>
        </w:tc>
      </w:tr>
      <w:tr w:rsidR="00AF4285" w14:paraId="1ABAF09A" w14:textId="77777777" w:rsidTr="000155A4">
        <w:tc>
          <w:tcPr>
            <w:tcW w:w="2265" w:type="dxa"/>
          </w:tcPr>
          <w:p w14:paraId="1B618EEF" w14:textId="77777777" w:rsidR="00AF4285" w:rsidRPr="00746127" w:rsidRDefault="00AF4285">
            <w:r w:rsidRPr="00746127">
              <w:t xml:space="preserve">Nature de l’UE </w:t>
            </w:r>
          </w:p>
        </w:tc>
        <w:tc>
          <w:tcPr>
            <w:tcW w:w="2241" w:type="dxa"/>
          </w:tcPr>
          <w:p w14:paraId="08B530B5" w14:textId="77777777" w:rsidR="00AF4285" w:rsidRPr="00746127" w:rsidRDefault="00AF4285"/>
        </w:tc>
        <w:tc>
          <w:tcPr>
            <w:tcW w:w="764" w:type="dxa"/>
          </w:tcPr>
          <w:p w14:paraId="2A1A46FA" w14:textId="77777777" w:rsidR="00AF4285" w:rsidRPr="00746127" w:rsidRDefault="00AF4285"/>
        </w:tc>
        <w:tc>
          <w:tcPr>
            <w:tcW w:w="821" w:type="dxa"/>
          </w:tcPr>
          <w:p w14:paraId="4D21B9A3" w14:textId="77777777" w:rsidR="00AF4285" w:rsidRPr="00746127" w:rsidRDefault="00AF4285"/>
        </w:tc>
        <w:tc>
          <w:tcPr>
            <w:tcW w:w="707" w:type="dxa"/>
          </w:tcPr>
          <w:p w14:paraId="21DB93BC" w14:textId="77777777" w:rsidR="00AF4285" w:rsidRPr="00746127" w:rsidRDefault="00AF4285"/>
        </w:tc>
        <w:tc>
          <w:tcPr>
            <w:tcW w:w="840" w:type="dxa"/>
          </w:tcPr>
          <w:p w14:paraId="7FBF4DE3" w14:textId="77777777" w:rsidR="00AF4285" w:rsidRPr="00746127" w:rsidRDefault="00AF4285"/>
        </w:tc>
        <w:tc>
          <w:tcPr>
            <w:tcW w:w="862" w:type="dxa"/>
            <w:gridSpan w:val="2"/>
          </w:tcPr>
          <w:p w14:paraId="691BFF50" w14:textId="77777777" w:rsidR="00AF4285" w:rsidRPr="00746127" w:rsidRDefault="00AF4285"/>
        </w:tc>
        <w:tc>
          <w:tcPr>
            <w:tcW w:w="704" w:type="dxa"/>
          </w:tcPr>
          <w:p w14:paraId="721E9805" w14:textId="77777777" w:rsidR="00AF4285" w:rsidRPr="00746127" w:rsidRDefault="00AF4285"/>
        </w:tc>
      </w:tr>
      <w:tr w:rsidR="00AF4285" w14:paraId="29A633ED" w14:textId="77777777" w:rsidTr="000155A4">
        <w:tc>
          <w:tcPr>
            <w:tcW w:w="2265" w:type="dxa"/>
          </w:tcPr>
          <w:p w14:paraId="10AD164B" w14:textId="77777777" w:rsidR="00AF4285" w:rsidRPr="00746127" w:rsidRDefault="00AF4285">
            <w:r w:rsidRPr="00746127">
              <w:t xml:space="preserve">Nombre d’UE </w:t>
            </w:r>
          </w:p>
        </w:tc>
        <w:tc>
          <w:tcPr>
            <w:tcW w:w="2241" w:type="dxa"/>
          </w:tcPr>
          <w:p w14:paraId="5B3D069F" w14:textId="77777777" w:rsidR="00AF4285" w:rsidRPr="00746127" w:rsidRDefault="00AF4285"/>
        </w:tc>
        <w:tc>
          <w:tcPr>
            <w:tcW w:w="764" w:type="dxa"/>
          </w:tcPr>
          <w:p w14:paraId="4F33F7A0" w14:textId="77777777" w:rsidR="00AF4285" w:rsidRPr="00746127" w:rsidRDefault="00AF4285"/>
        </w:tc>
        <w:tc>
          <w:tcPr>
            <w:tcW w:w="821" w:type="dxa"/>
          </w:tcPr>
          <w:p w14:paraId="17AF8441" w14:textId="77777777" w:rsidR="00AF4285" w:rsidRPr="00746127" w:rsidRDefault="00AF4285"/>
        </w:tc>
        <w:tc>
          <w:tcPr>
            <w:tcW w:w="707" w:type="dxa"/>
          </w:tcPr>
          <w:p w14:paraId="43715DE5" w14:textId="77777777" w:rsidR="00AF4285" w:rsidRPr="00746127" w:rsidRDefault="00AF4285"/>
        </w:tc>
        <w:tc>
          <w:tcPr>
            <w:tcW w:w="840" w:type="dxa"/>
          </w:tcPr>
          <w:p w14:paraId="6F2C0171" w14:textId="77777777" w:rsidR="00AF4285" w:rsidRPr="00746127" w:rsidRDefault="00AF4285"/>
        </w:tc>
        <w:tc>
          <w:tcPr>
            <w:tcW w:w="862" w:type="dxa"/>
            <w:gridSpan w:val="2"/>
          </w:tcPr>
          <w:p w14:paraId="0640316F" w14:textId="77777777" w:rsidR="00AF4285" w:rsidRPr="00746127" w:rsidRDefault="00AF4285"/>
        </w:tc>
        <w:tc>
          <w:tcPr>
            <w:tcW w:w="704" w:type="dxa"/>
          </w:tcPr>
          <w:p w14:paraId="67B519A8" w14:textId="77777777" w:rsidR="00AF4285" w:rsidRPr="00746127" w:rsidRDefault="00AF4285"/>
        </w:tc>
      </w:tr>
      <w:tr w:rsidR="00AF4285" w14:paraId="5C36BD2B" w14:textId="77777777" w:rsidTr="000155A4">
        <w:tc>
          <w:tcPr>
            <w:tcW w:w="2265" w:type="dxa"/>
          </w:tcPr>
          <w:p w14:paraId="6822C22B" w14:textId="77777777" w:rsidR="00AF4285" w:rsidRPr="00746127" w:rsidRDefault="00AF4285">
            <w:r w:rsidRPr="00746127">
              <w:t>Coût de l’UE.</w:t>
            </w:r>
          </w:p>
        </w:tc>
        <w:tc>
          <w:tcPr>
            <w:tcW w:w="2241" w:type="dxa"/>
          </w:tcPr>
          <w:p w14:paraId="187FD8DF" w14:textId="77777777" w:rsidR="00AF4285" w:rsidRPr="00746127" w:rsidRDefault="00AF4285"/>
        </w:tc>
        <w:tc>
          <w:tcPr>
            <w:tcW w:w="764" w:type="dxa"/>
          </w:tcPr>
          <w:p w14:paraId="7BAF900A" w14:textId="77777777" w:rsidR="00AF4285" w:rsidRPr="00746127" w:rsidRDefault="00AF4285"/>
        </w:tc>
        <w:tc>
          <w:tcPr>
            <w:tcW w:w="821" w:type="dxa"/>
          </w:tcPr>
          <w:p w14:paraId="1935D635" w14:textId="77777777" w:rsidR="00AF4285" w:rsidRPr="00746127" w:rsidRDefault="00AF4285"/>
        </w:tc>
        <w:tc>
          <w:tcPr>
            <w:tcW w:w="707" w:type="dxa"/>
          </w:tcPr>
          <w:p w14:paraId="41676B6C" w14:textId="77777777" w:rsidR="00AF4285" w:rsidRPr="00746127" w:rsidRDefault="00AF4285"/>
        </w:tc>
        <w:tc>
          <w:tcPr>
            <w:tcW w:w="840" w:type="dxa"/>
          </w:tcPr>
          <w:p w14:paraId="3790E29B" w14:textId="77777777" w:rsidR="00AF4285" w:rsidRPr="00746127" w:rsidRDefault="00AF4285"/>
        </w:tc>
        <w:tc>
          <w:tcPr>
            <w:tcW w:w="862" w:type="dxa"/>
            <w:gridSpan w:val="2"/>
          </w:tcPr>
          <w:p w14:paraId="4C521C04" w14:textId="77777777" w:rsidR="00AF4285" w:rsidRPr="00746127" w:rsidRDefault="00AF4285"/>
        </w:tc>
        <w:tc>
          <w:tcPr>
            <w:tcW w:w="704" w:type="dxa"/>
          </w:tcPr>
          <w:p w14:paraId="050998C7" w14:textId="77777777" w:rsidR="00AF4285" w:rsidRPr="00746127" w:rsidRDefault="00AF4285"/>
        </w:tc>
      </w:tr>
    </w:tbl>
    <w:p w14:paraId="3B040146" w14:textId="77777777" w:rsidR="00F333D8" w:rsidRDefault="00F333D8">
      <w:pPr>
        <w:rPr>
          <w:sz w:val="24"/>
        </w:rPr>
      </w:pPr>
    </w:p>
    <w:p w14:paraId="23B1AE6D" w14:textId="77777777" w:rsidR="00C40C2B" w:rsidRPr="003A34D2" w:rsidRDefault="00C40C2B" w:rsidP="00C40C2B">
      <w:pPr>
        <w:rPr>
          <w:b/>
          <w:sz w:val="24"/>
        </w:rPr>
      </w:pPr>
      <w:r w:rsidRPr="003A34D2">
        <w:rPr>
          <w:b/>
          <w:sz w:val="24"/>
        </w:rPr>
        <w:t xml:space="preserve">P. 23 : Cession interne des centres auxiliaires : prestations réciproques (complète l’application). </w:t>
      </w:r>
    </w:p>
    <w:p w14:paraId="727D56D3" w14:textId="77777777" w:rsidR="00C40C2B" w:rsidRDefault="00C40C2B" w:rsidP="00C40C2B">
      <w:pPr>
        <w:ind w:firstLine="708"/>
        <w:rPr>
          <w:i/>
          <w:sz w:val="24"/>
        </w:rPr>
      </w:pPr>
      <w:r>
        <w:rPr>
          <w:sz w:val="24"/>
        </w:rPr>
        <w:t xml:space="preserve">Fourniture réciproque de prestations entre centre auxiliaire </w:t>
      </w:r>
      <w:r w:rsidRPr="00C40C2B">
        <w:rPr>
          <w:sz w:val="24"/>
        </w:rPr>
        <w:sym w:font="Wingdings" w:char="F0E0"/>
      </w:r>
      <w:r>
        <w:rPr>
          <w:sz w:val="24"/>
        </w:rPr>
        <w:t xml:space="preserve"> calcul avant la répartition secondaire. </w:t>
      </w:r>
      <w:r>
        <w:rPr>
          <w:i/>
          <w:sz w:val="24"/>
        </w:rPr>
        <w:t xml:space="preserve">Ex : l’entreprise BETA vous communique le tableau des charges indirectes. </w:t>
      </w:r>
    </w:p>
    <w:tbl>
      <w:tblPr>
        <w:tblStyle w:val="Grilledutableau"/>
        <w:tblW w:w="0" w:type="auto"/>
        <w:tblLook w:val="04A0" w:firstRow="1" w:lastRow="0" w:firstColumn="1" w:lastColumn="0" w:noHBand="0" w:noVBand="1"/>
      </w:tblPr>
      <w:tblGrid>
        <w:gridCol w:w="3068"/>
        <w:gridCol w:w="3068"/>
        <w:gridCol w:w="3068"/>
      </w:tblGrid>
      <w:tr w:rsidR="00C40C2B" w14:paraId="62117F1E" w14:textId="77777777" w:rsidTr="003A34D2">
        <w:tc>
          <w:tcPr>
            <w:tcW w:w="3068" w:type="dxa"/>
            <w:tcBorders>
              <w:top w:val="single" w:sz="4" w:space="0" w:color="FFFFFF"/>
              <w:left w:val="single" w:sz="4" w:space="0" w:color="FFFFFF"/>
              <w:bottom w:val="single" w:sz="4" w:space="0" w:color="FFFFFF"/>
            </w:tcBorders>
          </w:tcPr>
          <w:p w14:paraId="4D78C494" w14:textId="77777777" w:rsidR="00C40C2B" w:rsidRPr="003A34D2" w:rsidRDefault="00C40C2B" w:rsidP="003A34D2">
            <w:pPr>
              <w:jc w:val="center"/>
              <w:rPr>
                <w:b/>
                <w:sz w:val="28"/>
              </w:rPr>
            </w:pPr>
          </w:p>
        </w:tc>
        <w:tc>
          <w:tcPr>
            <w:tcW w:w="6136" w:type="dxa"/>
            <w:gridSpan w:val="2"/>
          </w:tcPr>
          <w:p w14:paraId="2D1A3935" w14:textId="77777777" w:rsidR="00C40C2B" w:rsidRPr="003A34D2" w:rsidRDefault="00C40C2B" w:rsidP="003A34D2">
            <w:pPr>
              <w:jc w:val="center"/>
              <w:rPr>
                <w:b/>
                <w:sz w:val="28"/>
              </w:rPr>
            </w:pPr>
            <w:r w:rsidRPr="003A34D2">
              <w:rPr>
                <w:b/>
                <w:sz w:val="28"/>
              </w:rPr>
              <w:t>Centres auxiliaires</w:t>
            </w:r>
          </w:p>
        </w:tc>
      </w:tr>
      <w:tr w:rsidR="00C40C2B" w14:paraId="33FC9A7F" w14:textId="77777777" w:rsidTr="003A34D2">
        <w:tc>
          <w:tcPr>
            <w:tcW w:w="3068" w:type="dxa"/>
            <w:tcBorders>
              <w:top w:val="single" w:sz="4" w:space="0" w:color="FFFFFF"/>
              <w:left w:val="single" w:sz="4" w:space="0" w:color="FFFFFF"/>
            </w:tcBorders>
          </w:tcPr>
          <w:p w14:paraId="54468C12" w14:textId="77777777" w:rsidR="00C40C2B" w:rsidRPr="003A34D2" w:rsidRDefault="00C40C2B" w:rsidP="003A34D2">
            <w:pPr>
              <w:jc w:val="center"/>
              <w:rPr>
                <w:b/>
                <w:sz w:val="28"/>
              </w:rPr>
            </w:pPr>
          </w:p>
        </w:tc>
        <w:tc>
          <w:tcPr>
            <w:tcW w:w="3068" w:type="dxa"/>
          </w:tcPr>
          <w:p w14:paraId="31787724" w14:textId="77777777" w:rsidR="00C40C2B" w:rsidRPr="003A34D2" w:rsidRDefault="00C40C2B" w:rsidP="003A34D2">
            <w:pPr>
              <w:jc w:val="center"/>
              <w:rPr>
                <w:b/>
                <w:sz w:val="28"/>
              </w:rPr>
            </w:pPr>
            <w:r w:rsidRPr="003A34D2">
              <w:rPr>
                <w:b/>
                <w:sz w:val="28"/>
              </w:rPr>
              <w:t>Maintenance</w:t>
            </w:r>
          </w:p>
        </w:tc>
        <w:tc>
          <w:tcPr>
            <w:tcW w:w="3068" w:type="dxa"/>
          </w:tcPr>
          <w:p w14:paraId="757F696E" w14:textId="77777777" w:rsidR="00C40C2B" w:rsidRPr="003A34D2" w:rsidRDefault="00C40C2B" w:rsidP="003A34D2">
            <w:pPr>
              <w:jc w:val="center"/>
              <w:rPr>
                <w:b/>
                <w:sz w:val="28"/>
              </w:rPr>
            </w:pPr>
            <w:r w:rsidRPr="003A34D2">
              <w:rPr>
                <w:b/>
                <w:sz w:val="28"/>
              </w:rPr>
              <w:t>Transport</w:t>
            </w:r>
          </w:p>
        </w:tc>
      </w:tr>
      <w:tr w:rsidR="00C40C2B" w14:paraId="195F484C" w14:textId="77777777" w:rsidTr="00C40C2B">
        <w:tc>
          <w:tcPr>
            <w:tcW w:w="3068" w:type="dxa"/>
          </w:tcPr>
          <w:p w14:paraId="7CBFC596" w14:textId="77777777" w:rsidR="00C40C2B" w:rsidRPr="003A34D2" w:rsidRDefault="00C40C2B" w:rsidP="003A34D2">
            <w:pPr>
              <w:jc w:val="center"/>
              <w:rPr>
                <w:b/>
                <w:sz w:val="28"/>
              </w:rPr>
            </w:pPr>
            <w:r w:rsidRPr="003A34D2">
              <w:rPr>
                <w:b/>
                <w:sz w:val="28"/>
              </w:rPr>
              <w:t>Répartition primaire</w:t>
            </w:r>
          </w:p>
        </w:tc>
        <w:tc>
          <w:tcPr>
            <w:tcW w:w="3068" w:type="dxa"/>
          </w:tcPr>
          <w:p w14:paraId="640C0852" w14:textId="77777777" w:rsidR="00C40C2B" w:rsidRDefault="00C40C2B" w:rsidP="003A34D2">
            <w:pPr>
              <w:jc w:val="center"/>
              <w:rPr>
                <w:sz w:val="24"/>
              </w:rPr>
            </w:pPr>
            <w:r>
              <w:rPr>
                <w:sz w:val="24"/>
              </w:rPr>
              <w:t>20 000</w:t>
            </w:r>
          </w:p>
        </w:tc>
        <w:tc>
          <w:tcPr>
            <w:tcW w:w="3068" w:type="dxa"/>
          </w:tcPr>
          <w:p w14:paraId="3CA8234E" w14:textId="77777777" w:rsidR="00C40C2B" w:rsidRDefault="00C40C2B" w:rsidP="003A34D2">
            <w:pPr>
              <w:jc w:val="center"/>
              <w:rPr>
                <w:sz w:val="24"/>
              </w:rPr>
            </w:pPr>
            <w:r>
              <w:rPr>
                <w:sz w:val="24"/>
              </w:rPr>
              <w:t>15 000</w:t>
            </w:r>
          </w:p>
        </w:tc>
      </w:tr>
      <w:tr w:rsidR="00C40C2B" w14:paraId="14218B7F" w14:textId="77777777" w:rsidTr="00C40C2B">
        <w:tc>
          <w:tcPr>
            <w:tcW w:w="3068" w:type="dxa"/>
          </w:tcPr>
          <w:p w14:paraId="776540BB" w14:textId="77777777" w:rsidR="00C40C2B" w:rsidRPr="003A34D2" w:rsidRDefault="00C40C2B" w:rsidP="003A34D2">
            <w:pPr>
              <w:jc w:val="center"/>
              <w:rPr>
                <w:b/>
                <w:sz w:val="28"/>
              </w:rPr>
            </w:pPr>
            <w:r w:rsidRPr="003A34D2">
              <w:rPr>
                <w:b/>
                <w:sz w:val="28"/>
              </w:rPr>
              <w:t>Maintenance</w:t>
            </w:r>
          </w:p>
        </w:tc>
        <w:tc>
          <w:tcPr>
            <w:tcW w:w="3068" w:type="dxa"/>
          </w:tcPr>
          <w:p w14:paraId="02713DD3" w14:textId="77777777" w:rsidR="00C40C2B" w:rsidRDefault="00C40C2B" w:rsidP="003A34D2">
            <w:pPr>
              <w:jc w:val="center"/>
              <w:rPr>
                <w:sz w:val="24"/>
              </w:rPr>
            </w:pPr>
          </w:p>
        </w:tc>
        <w:tc>
          <w:tcPr>
            <w:tcW w:w="3068" w:type="dxa"/>
          </w:tcPr>
          <w:p w14:paraId="4D5D6CBE" w14:textId="77777777" w:rsidR="00C40C2B" w:rsidRDefault="00C40C2B" w:rsidP="003A34D2">
            <w:pPr>
              <w:jc w:val="center"/>
              <w:rPr>
                <w:sz w:val="24"/>
              </w:rPr>
            </w:pPr>
            <w:r>
              <w:rPr>
                <w:sz w:val="24"/>
              </w:rPr>
              <w:t>5%</w:t>
            </w:r>
          </w:p>
        </w:tc>
      </w:tr>
      <w:tr w:rsidR="00C40C2B" w14:paraId="5C932EEB" w14:textId="77777777" w:rsidTr="00C40C2B">
        <w:tc>
          <w:tcPr>
            <w:tcW w:w="3068" w:type="dxa"/>
          </w:tcPr>
          <w:p w14:paraId="65F142C7" w14:textId="77777777" w:rsidR="00C40C2B" w:rsidRPr="003A34D2" w:rsidRDefault="00C40C2B" w:rsidP="003A34D2">
            <w:pPr>
              <w:jc w:val="center"/>
              <w:rPr>
                <w:b/>
                <w:sz w:val="28"/>
              </w:rPr>
            </w:pPr>
            <w:r w:rsidRPr="003A34D2">
              <w:rPr>
                <w:b/>
                <w:sz w:val="28"/>
              </w:rPr>
              <w:t>Transport</w:t>
            </w:r>
          </w:p>
        </w:tc>
        <w:tc>
          <w:tcPr>
            <w:tcW w:w="3068" w:type="dxa"/>
          </w:tcPr>
          <w:p w14:paraId="739BBC9C" w14:textId="77777777" w:rsidR="00C40C2B" w:rsidRDefault="00C40C2B" w:rsidP="003A34D2">
            <w:pPr>
              <w:jc w:val="center"/>
              <w:rPr>
                <w:sz w:val="24"/>
              </w:rPr>
            </w:pPr>
            <w:r>
              <w:rPr>
                <w:sz w:val="24"/>
              </w:rPr>
              <w:t>10%</w:t>
            </w:r>
          </w:p>
        </w:tc>
        <w:tc>
          <w:tcPr>
            <w:tcW w:w="3068" w:type="dxa"/>
          </w:tcPr>
          <w:p w14:paraId="389F913A" w14:textId="77777777" w:rsidR="00C40C2B" w:rsidRDefault="00C40C2B" w:rsidP="003A34D2">
            <w:pPr>
              <w:jc w:val="center"/>
              <w:rPr>
                <w:sz w:val="24"/>
              </w:rPr>
            </w:pPr>
          </w:p>
        </w:tc>
      </w:tr>
      <w:tr w:rsidR="003A34D2" w14:paraId="1E3EBEA5" w14:textId="77777777" w:rsidTr="00C40C2B">
        <w:tc>
          <w:tcPr>
            <w:tcW w:w="3068" w:type="dxa"/>
          </w:tcPr>
          <w:p w14:paraId="157BC6D7" w14:textId="77777777" w:rsidR="003A34D2" w:rsidRPr="003A34D2" w:rsidRDefault="003A34D2" w:rsidP="003A34D2">
            <w:pPr>
              <w:jc w:val="center"/>
              <w:rPr>
                <w:b/>
                <w:sz w:val="28"/>
              </w:rPr>
            </w:pPr>
            <w:r w:rsidRPr="003A34D2">
              <w:rPr>
                <w:b/>
                <w:sz w:val="28"/>
              </w:rPr>
              <w:t>Totaux à répartir</w:t>
            </w:r>
          </w:p>
        </w:tc>
        <w:tc>
          <w:tcPr>
            <w:tcW w:w="3068" w:type="dxa"/>
          </w:tcPr>
          <w:p w14:paraId="4887D4EF" w14:textId="77777777" w:rsidR="003A34D2" w:rsidRDefault="003A34D2" w:rsidP="003A34D2">
            <w:pPr>
              <w:jc w:val="center"/>
              <w:rPr>
                <w:sz w:val="24"/>
              </w:rPr>
            </w:pPr>
            <w:r>
              <w:rPr>
                <w:sz w:val="24"/>
              </w:rPr>
              <w:t>X ?</w:t>
            </w:r>
          </w:p>
        </w:tc>
        <w:tc>
          <w:tcPr>
            <w:tcW w:w="3068" w:type="dxa"/>
          </w:tcPr>
          <w:p w14:paraId="1E00C2D2" w14:textId="77777777" w:rsidR="003A34D2" w:rsidRDefault="003A34D2" w:rsidP="003A34D2">
            <w:pPr>
              <w:jc w:val="center"/>
              <w:rPr>
                <w:sz w:val="24"/>
              </w:rPr>
            </w:pPr>
            <w:r>
              <w:rPr>
                <w:sz w:val="24"/>
              </w:rPr>
              <w:t>Y ?</w:t>
            </w:r>
          </w:p>
        </w:tc>
      </w:tr>
    </w:tbl>
    <w:p w14:paraId="682476F0" w14:textId="77777777" w:rsidR="003A34D2" w:rsidRDefault="003A34D2" w:rsidP="00C40C2B">
      <w:pPr>
        <w:rPr>
          <w:sz w:val="24"/>
        </w:rPr>
      </w:pPr>
      <w:r>
        <w:rPr>
          <w:sz w:val="24"/>
        </w:rPr>
        <w:t xml:space="preserve">X = cout total centre maintenance ; Y = coût total centre transport. </w:t>
      </w:r>
      <w:r>
        <w:rPr>
          <w:sz w:val="24"/>
        </w:rPr>
        <w:br/>
      </w:r>
      <w:r>
        <w:rPr>
          <w:sz w:val="24"/>
        </w:rPr>
        <w:br/>
        <w:t xml:space="preserve">X = 20 000 + 0,1Y                           </w:t>
      </w:r>
      <w:r w:rsidRPr="003A34D2">
        <w:rPr>
          <w:sz w:val="24"/>
        </w:rPr>
        <w:sym w:font="Wingdings" w:char="F0E0"/>
      </w:r>
      <w:r>
        <w:rPr>
          <w:sz w:val="24"/>
        </w:rPr>
        <w:t xml:space="preserve">            X = 21 608 </w:t>
      </w:r>
      <w:r>
        <w:rPr>
          <w:sz w:val="24"/>
        </w:rPr>
        <w:br/>
        <w:t xml:space="preserve">Y = 15 000 + 0,05X  </w:t>
      </w:r>
      <w:r>
        <w:rPr>
          <w:sz w:val="24"/>
        </w:rPr>
        <w:tab/>
      </w:r>
      <w:r>
        <w:rPr>
          <w:sz w:val="24"/>
        </w:rPr>
        <w:tab/>
      </w:r>
      <w:r>
        <w:rPr>
          <w:sz w:val="24"/>
        </w:rPr>
        <w:tab/>
        <w:t xml:space="preserve">         Y = 16 080 </w:t>
      </w:r>
      <w:r>
        <w:rPr>
          <w:sz w:val="24"/>
        </w:rPr>
        <w:br/>
      </w:r>
      <w:r w:rsidRPr="003A34D2">
        <w:rPr>
          <w:sz w:val="24"/>
        </w:rPr>
        <w:sym w:font="Wingdings" w:char="F0E0"/>
      </w:r>
      <w:r>
        <w:rPr>
          <w:sz w:val="24"/>
        </w:rPr>
        <w:t xml:space="preserve"> Répartition secondaire. </w:t>
      </w:r>
    </w:p>
    <w:p w14:paraId="59F3BB77" w14:textId="77777777" w:rsidR="00FF134B" w:rsidRDefault="00FF134B" w:rsidP="00C40C2B">
      <w:pPr>
        <w:rPr>
          <w:sz w:val="24"/>
        </w:rPr>
      </w:pPr>
    </w:p>
    <w:p w14:paraId="766B9BBE" w14:textId="77777777" w:rsidR="00FF134B" w:rsidRDefault="00FF134B" w:rsidP="00FF134B">
      <w:pPr>
        <w:pStyle w:val="Titre1"/>
      </w:pPr>
      <w:r>
        <w:t xml:space="preserve">Détermination des coûts. </w:t>
      </w:r>
    </w:p>
    <w:p w14:paraId="1942CE39" w14:textId="77777777" w:rsidR="00FA7D38" w:rsidRPr="00FA7D38" w:rsidRDefault="00FA7D38" w:rsidP="00FA7D38">
      <w:pPr>
        <w:pStyle w:val="Titre2"/>
        <w:numPr>
          <w:ilvl w:val="1"/>
          <w:numId w:val="16"/>
        </w:numPr>
      </w:pPr>
      <w:r>
        <w:t xml:space="preserve">Hiérarchie des coûts. </w:t>
      </w:r>
    </w:p>
    <w:p w14:paraId="32EE2079" w14:textId="77777777" w:rsidR="00FF134B" w:rsidRDefault="00FF134B" w:rsidP="00FF134B">
      <w:r w:rsidRPr="00FF134B">
        <w:rPr>
          <w:b/>
        </w:rPr>
        <w:t>Charges incorporables =</w:t>
      </w:r>
      <w:r>
        <w:t xml:space="preserve"> charge par nature </w:t>
      </w:r>
      <w:r w:rsidR="00FA7D38">
        <w:t xml:space="preserve">(tout ce que l’entreprise a consommé). </w:t>
      </w:r>
      <w:r w:rsidR="00FA7D38">
        <w:br/>
        <w:t xml:space="preserve">                                             </w:t>
      </w:r>
      <w:r>
        <w:t xml:space="preserve">– charges non incorporables </w:t>
      </w:r>
      <w:r w:rsidR="00FA7D38">
        <w:br/>
        <w:t xml:space="preserve">                                             </w:t>
      </w:r>
      <w:r>
        <w:t xml:space="preserve">+ charges supplétives. </w:t>
      </w:r>
      <w:r>
        <w:br/>
      </w:r>
      <w:r>
        <w:sym w:font="Wingdings" w:char="F0E0"/>
      </w:r>
      <w:r>
        <w:t xml:space="preserve"> Charges incorporables = indirectes (tableau de répartition) + directes. </w:t>
      </w:r>
    </w:p>
    <w:p w14:paraId="74608B89" w14:textId="77777777" w:rsidR="00FF134B" w:rsidRDefault="00FF134B" w:rsidP="00FF134B">
      <w:pPr>
        <w:pStyle w:val="Paragraphedeliste"/>
        <w:numPr>
          <w:ilvl w:val="0"/>
          <w:numId w:val="19"/>
        </w:numPr>
      </w:pPr>
      <w:r w:rsidRPr="00FA7D38">
        <w:rPr>
          <w:b/>
        </w:rPr>
        <w:t>Coût d’achat</w:t>
      </w:r>
      <w:r>
        <w:t xml:space="preserve"> = charges directes d’approvisionnement + charges indirectes d’approvisionnement. </w:t>
      </w:r>
    </w:p>
    <w:p w14:paraId="36D5EED9" w14:textId="77777777" w:rsidR="00FF134B" w:rsidRDefault="00FF134B" w:rsidP="00FF134B">
      <w:pPr>
        <w:pStyle w:val="Paragraphedeliste"/>
        <w:numPr>
          <w:ilvl w:val="0"/>
          <w:numId w:val="19"/>
        </w:numPr>
      </w:pPr>
      <w:r w:rsidRPr="00FA7D38">
        <w:rPr>
          <w:b/>
        </w:rPr>
        <w:t xml:space="preserve">Coût de production </w:t>
      </w:r>
      <w:r>
        <w:t xml:space="preserve">= charges directes de production + charges indirectes de production + CUMP de la fiche de stock des achats). </w:t>
      </w:r>
    </w:p>
    <w:p w14:paraId="4838B9D9" w14:textId="77777777" w:rsidR="00FF134B" w:rsidRDefault="00FF134B" w:rsidP="00FF134B">
      <w:pPr>
        <w:pStyle w:val="Paragraphedeliste"/>
        <w:numPr>
          <w:ilvl w:val="0"/>
          <w:numId w:val="19"/>
        </w:numPr>
      </w:pPr>
      <w:r w:rsidRPr="00FA7D38">
        <w:rPr>
          <w:b/>
        </w:rPr>
        <w:t>Coût de distribution</w:t>
      </w:r>
      <w:r>
        <w:t xml:space="preserve"> = charges directes de distribution + charges indirectes de distribution </w:t>
      </w:r>
    </w:p>
    <w:p w14:paraId="433E8A74" w14:textId="77777777" w:rsidR="00FF134B" w:rsidRDefault="00FF134B" w:rsidP="00FF134B">
      <w:pPr>
        <w:pStyle w:val="Paragraphedeliste"/>
        <w:numPr>
          <w:ilvl w:val="0"/>
          <w:numId w:val="19"/>
        </w:numPr>
      </w:pPr>
      <w:r w:rsidRPr="00FA7D38">
        <w:rPr>
          <w:b/>
        </w:rPr>
        <w:t>Coût de revient</w:t>
      </w:r>
      <w:r w:rsidR="00FA7D38">
        <w:t xml:space="preserve"> = Coût de distribution + </w:t>
      </w:r>
      <w:r>
        <w:t>CUMP de l</w:t>
      </w:r>
      <w:r w:rsidR="00FA7D38">
        <w:t xml:space="preserve">a fiche de stock de production. </w:t>
      </w:r>
    </w:p>
    <w:p w14:paraId="51526F10" w14:textId="77777777" w:rsidR="00FA7D38" w:rsidRDefault="00FA7D38" w:rsidP="00FF134B">
      <w:pPr>
        <w:pStyle w:val="Paragraphedeliste"/>
        <w:numPr>
          <w:ilvl w:val="0"/>
          <w:numId w:val="19"/>
        </w:numPr>
      </w:pPr>
      <w:r w:rsidRPr="00FA7D38">
        <w:rPr>
          <w:b/>
        </w:rPr>
        <w:t>Résultat</w:t>
      </w:r>
      <w:r>
        <w:t xml:space="preserve"> = marge = prix de vente – coût de revient.  </w:t>
      </w:r>
    </w:p>
    <w:p w14:paraId="627B9A5E" w14:textId="77777777" w:rsidR="00FA7D38" w:rsidRDefault="00FA7D38" w:rsidP="00FA7D38"/>
    <w:p w14:paraId="3ADDF505" w14:textId="77777777" w:rsidR="00FA7D38" w:rsidRDefault="00FA7D38" w:rsidP="00FA7D38">
      <w:r>
        <w:t xml:space="preserve">CHARGES DIRECTES = coût d’achat qui touchent directement le produit. </w:t>
      </w:r>
      <w:r>
        <w:br/>
        <w:t>CHARGES INDIRECTES = charges générales qui touchent tous les produits.</w:t>
      </w:r>
    </w:p>
    <w:p w14:paraId="700D97BB" w14:textId="77777777" w:rsidR="00871D00" w:rsidRDefault="00871D00" w:rsidP="00FA7D38"/>
    <w:p w14:paraId="5482D5BF" w14:textId="77777777" w:rsidR="00FA7D38" w:rsidRDefault="00FA7D38" w:rsidP="00FA7D38">
      <w:pPr>
        <w:pStyle w:val="Titre2"/>
        <w:numPr>
          <w:ilvl w:val="1"/>
          <w:numId w:val="16"/>
        </w:numPr>
      </w:pPr>
      <w:r>
        <w:t xml:space="preserve">Valorisation des stocks. </w:t>
      </w:r>
    </w:p>
    <w:p w14:paraId="3A4EE11F" w14:textId="77777777" w:rsidR="00871D00" w:rsidRDefault="00871D00" w:rsidP="00871D00">
      <w:pPr>
        <w:pStyle w:val="Paragraphedeliste"/>
        <w:numPr>
          <w:ilvl w:val="0"/>
          <w:numId w:val="26"/>
        </w:numPr>
      </w:pPr>
      <w:r>
        <w:t xml:space="preserve">Stock réel – stock théorique = différence théorique. </w:t>
      </w:r>
    </w:p>
    <w:p w14:paraId="7F1F28D7" w14:textId="77777777" w:rsidR="00871D00" w:rsidRDefault="00871D00" w:rsidP="00871D00">
      <w:pPr>
        <w:pStyle w:val="Paragraphedeliste"/>
        <w:numPr>
          <w:ilvl w:val="0"/>
          <w:numId w:val="26"/>
        </w:numPr>
      </w:pPr>
      <w:r>
        <w:t xml:space="preserve">Stock réel &lt; stock théorique = différence d’inventaire défavorable. </w:t>
      </w:r>
    </w:p>
    <w:p w14:paraId="696EC45A" w14:textId="77777777" w:rsidR="00871D00" w:rsidRDefault="00871D00" w:rsidP="00871D00">
      <w:pPr>
        <w:pStyle w:val="Paragraphedeliste"/>
        <w:numPr>
          <w:ilvl w:val="0"/>
          <w:numId w:val="26"/>
        </w:numPr>
      </w:pPr>
      <w:r>
        <w:lastRenderedPageBreak/>
        <w:t xml:space="preserve">Stock réel </w:t>
      </w:r>
      <w:r w:rsidRPr="00871D00">
        <w:rPr>
          <w:sz w:val="20"/>
        </w:rPr>
        <w:t>&gt;</w:t>
      </w:r>
      <w:r>
        <w:t xml:space="preserve"> stock théorique = différence d’inventaire favorable. </w:t>
      </w:r>
    </w:p>
    <w:p w14:paraId="596FA176" w14:textId="77777777" w:rsidR="00FF134B" w:rsidRPr="00FF134B" w:rsidRDefault="00871D00" w:rsidP="00871D00">
      <w:pPr>
        <w:pStyle w:val="Paragraphedeliste"/>
        <w:numPr>
          <w:ilvl w:val="0"/>
          <w:numId w:val="26"/>
        </w:numPr>
      </w:pPr>
      <w:r>
        <w:t xml:space="preserve">Evaluation des stocks : CUMP (coût unitaire moyen pondéré). </w:t>
      </w:r>
    </w:p>
    <w:sectPr w:rsidR="00FF134B" w:rsidRPr="00FF134B" w:rsidSect="00B66326">
      <w:headerReference w:type="default" r:id="rId9"/>
      <w:footerReference w:type="default" r:id="rId10"/>
      <w:pgSz w:w="11906" w:h="16838"/>
      <w:pgMar w:top="1418" w:right="1416" w:bottom="1276" w:left="1276"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06DB9" w14:textId="77777777" w:rsidR="008661C6" w:rsidRDefault="008661C6" w:rsidP="005534E7">
      <w:pPr>
        <w:spacing w:after="0" w:line="240" w:lineRule="auto"/>
      </w:pPr>
      <w:r>
        <w:separator/>
      </w:r>
    </w:p>
  </w:endnote>
  <w:endnote w:type="continuationSeparator" w:id="0">
    <w:p w14:paraId="460720C2" w14:textId="77777777" w:rsidR="008661C6" w:rsidRDefault="008661C6" w:rsidP="0055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4849C" w14:textId="77777777" w:rsidR="000155A4" w:rsidRPr="00B66326" w:rsidRDefault="000155A4">
    <w:pPr>
      <w:pStyle w:val="Pieddepage"/>
      <w:rPr>
        <w:b/>
      </w:rPr>
    </w:pPr>
    <w:r>
      <w:tab/>
    </w:r>
    <w:r>
      <w:tab/>
    </w:r>
    <w:r w:rsidRPr="00B66326">
      <w:rPr>
        <w:b/>
      </w:rPr>
      <w:t xml:space="preserve">Page </w:t>
    </w:r>
    <w:r w:rsidRPr="00B66326">
      <w:rPr>
        <w:b/>
      </w:rPr>
      <w:fldChar w:fldCharType="begin"/>
    </w:r>
    <w:r w:rsidRPr="00B66326">
      <w:rPr>
        <w:b/>
      </w:rPr>
      <w:instrText>PAGE   \* MERGEFORMAT</w:instrText>
    </w:r>
    <w:r w:rsidRPr="00B66326">
      <w:rPr>
        <w:b/>
      </w:rPr>
      <w:fldChar w:fldCharType="separate"/>
    </w:r>
    <w:r w:rsidR="00140924">
      <w:rPr>
        <w:b/>
        <w:noProof/>
      </w:rPr>
      <w:t>2</w:t>
    </w:r>
    <w:r w:rsidRPr="00B66326">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72F6C" w14:textId="77777777" w:rsidR="008661C6" w:rsidRDefault="008661C6" w:rsidP="005534E7">
      <w:pPr>
        <w:spacing w:after="0" w:line="240" w:lineRule="auto"/>
      </w:pPr>
      <w:r>
        <w:separator/>
      </w:r>
    </w:p>
  </w:footnote>
  <w:footnote w:type="continuationSeparator" w:id="0">
    <w:p w14:paraId="23862237" w14:textId="77777777" w:rsidR="008661C6" w:rsidRDefault="008661C6" w:rsidP="00553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7D0DE" w14:textId="29E4BFD8" w:rsidR="000155A4" w:rsidRPr="00746127" w:rsidRDefault="00140924" w:rsidP="00C26173">
    <w:pPr>
      <w:pStyle w:val="En-tte"/>
      <w:tabs>
        <w:tab w:val="clear" w:pos="4536"/>
        <w:tab w:val="center" w:pos="4253"/>
      </w:tabs>
      <w:jc w:val="center"/>
      <w:rPr>
        <w:b/>
        <w:sz w:val="24"/>
        <w:u w:val="single"/>
      </w:rPr>
    </w:pPr>
    <w:r>
      <w:rPr>
        <w:noProof/>
        <w:lang w:eastAsia="fr-FR"/>
      </w:rPr>
      <w:drawing>
        <wp:anchor distT="0" distB="0" distL="114300" distR="114300" simplePos="0" relativeHeight="251658240" behindDoc="0" locked="0" layoutInCell="1" allowOverlap="1" wp14:anchorId="305CD535" wp14:editId="47A077F1">
          <wp:simplePos x="0" y="0"/>
          <wp:positionH relativeFrom="column">
            <wp:posOffset>5815330</wp:posOffset>
          </wp:positionH>
          <wp:positionV relativeFrom="paragraph">
            <wp:posOffset>-462280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0155A4" w:rsidRPr="00746127">
      <w:rPr>
        <w:b/>
        <w:sz w:val="24"/>
        <w:u w:val="single"/>
      </w:rPr>
      <w:t>Mise en œuvre de la méthode</w:t>
    </w:r>
  </w:p>
  <w:p w14:paraId="1174A1C1" w14:textId="77777777" w:rsidR="001D07E6" w:rsidRPr="00746127" w:rsidRDefault="001D07E6" w:rsidP="00C26173">
    <w:pPr>
      <w:pStyle w:val="En-tte"/>
      <w:tabs>
        <w:tab w:val="clear" w:pos="4536"/>
        <w:tab w:val="center" w:pos="4253"/>
      </w:tabs>
      <w:jc w:val="center"/>
    </w:pPr>
    <w:r w:rsidRPr="00746127">
      <w:t>(Répartir les charges directes et indirectes)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887"/>
    <w:multiLevelType w:val="hybridMultilevel"/>
    <w:tmpl w:val="58B481E6"/>
    <w:lvl w:ilvl="0" w:tplc="6E14850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727FC"/>
    <w:multiLevelType w:val="hybridMultilevel"/>
    <w:tmpl w:val="158C24EA"/>
    <w:lvl w:ilvl="0" w:tplc="A7DC4D7A">
      <w:start w:val="1"/>
      <w:numFmt w:val="decimal"/>
      <w:lvlText w:val="%1)"/>
      <w:lvlJc w:val="left"/>
      <w:pPr>
        <w:ind w:left="720" w:hanging="360"/>
      </w:pPr>
      <w:rPr>
        <w:rFont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042495"/>
    <w:multiLevelType w:val="hybridMultilevel"/>
    <w:tmpl w:val="0264066C"/>
    <w:lvl w:ilvl="0" w:tplc="670CB7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EC1267"/>
    <w:multiLevelType w:val="hybridMultilevel"/>
    <w:tmpl w:val="7A2099DC"/>
    <w:lvl w:ilvl="0" w:tplc="142A0D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1360D1"/>
    <w:multiLevelType w:val="hybridMultilevel"/>
    <w:tmpl w:val="7D3E363C"/>
    <w:lvl w:ilvl="0" w:tplc="6E2878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5A3F46"/>
    <w:multiLevelType w:val="hybridMultilevel"/>
    <w:tmpl w:val="CC7099A0"/>
    <w:lvl w:ilvl="0" w:tplc="5BCE873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E407EC"/>
    <w:multiLevelType w:val="hybridMultilevel"/>
    <w:tmpl w:val="3F6A2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E539C9"/>
    <w:multiLevelType w:val="hybridMultilevel"/>
    <w:tmpl w:val="7F58B956"/>
    <w:lvl w:ilvl="0" w:tplc="CF1284A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1F37A7"/>
    <w:multiLevelType w:val="hybridMultilevel"/>
    <w:tmpl w:val="1B4E040A"/>
    <w:lvl w:ilvl="0" w:tplc="72EE78C6">
      <w:start w:val="1"/>
      <w:numFmt w:val="upperRoman"/>
      <w:pStyle w:val="Titre1"/>
      <w:lvlText w:val="%1."/>
      <w:lvlJc w:val="right"/>
      <w:pPr>
        <w:ind w:left="720" w:hanging="360"/>
      </w:pPr>
      <w:rPr>
        <w:rFonts w:hint="default"/>
        <w:color w:val="FF0000"/>
      </w:rPr>
    </w:lvl>
    <w:lvl w:ilvl="1" w:tplc="90F0B088">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68520CE"/>
    <w:multiLevelType w:val="hybridMultilevel"/>
    <w:tmpl w:val="D73E26F0"/>
    <w:lvl w:ilvl="0" w:tplc="8C283F7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355E9F1C">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021C15"/>
    <w:multiLevelType w:val="hybridMultilevel"/>
    <w:tmpl w:val="8C447A2E"/>
    <w:lvl w:ilvl="0" w:tplc="A6D25C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8B2681"/>
    <w:multiLevelType w:val="hybridMultilevel"/>
    <w:tmpl w:val="1786C0C8"/>
    <w:lvl w:ilvl="0" w:tplc="69F8E4A0">
      <w:start w:val="1"/>
      <w:numFmt w:val="decimal"/>
      <w:lvlText w:val="%1."/>
      <w:lvlJc w:val="left"/>
      <w:pPr>
        <w:ind w:left="720" w:hanging="360"/>
      </w:pPr>
      <w:rPr>
        <w:rFonts w:hint="default"/>
        <w:color w:val="FF0000"/>
      </w:rPr>
    </w:lvl>
    <w:lvl w:ilvl="1" w:tplc="379489D0">
      <w:start w:val="1"/>
      <w:numFmt w:val="lowerLetter"/>
      <w:pStyle w:val="Titre2"/>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111BF2"/>
    <w:multiLevelType w:val="hybridMultilevel"/>
    <w:tmpl w:val="B33C9304"/>
    <w:lvl w:ilvl="0" w:tplc="027A6AD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391587"/>
    <w:multiLevelType w:val="hybridMultilevel"/>
    <w:tmpl w:val="3E1AD0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ED4FC6"/>
    <w:multiLevelType w:val="hybridMultilevel"/>
    <w:tmpl w:val="9CF4E2B2"/>
    <w:lvl w:ilvl="0" w:tplc="B57A9222">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266E92"/>
    <w:multiLevelType w:val="hybridMultilevel"/>
    <w:tmpl w:val="BFC2020A"/>
    <w:lvl w:ilvl="0" w:tplc="B36E32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F77107"/>
    <w:multiLevelType w:val="hybridMultilevel"/>
    <w:tmpl w:val="AA74BF5E"/>
    <w:lvl w:ilvl="0" w:tplc="AC3AACB2">
      <w:start w:val="3"/>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C26404A"/>
    <w:multiLevelType w:val="hybridMultilevel"/>
    <w:tmpl w:val="C65EBF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F473D63"/>
    <w:multiLevelType w:val="hybridMultilevel"/>
    <w:tmpl w:val="7DA005A2"/>
    <w:lvl w:ilvl="0" w:tplc="040C000D">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876DB2"/>
    <w:multiLevelType w:val="hybridMultilevel"/>
    <w:tmpl w:val="3F48F768"/>
    <w:lvl w:ilvl="0" w:tplc="040C000D">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7456DE7"/>
    <w:multiLevelType w:val="hybridMultilevel"/>
    <w:tmpl w:val="1C2AE8E8"/>
    <w:lvl w:ilvl="0" w:tplc="040C000D">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F52902"/>
    <w:multiLevelType w:val="hybridMultilevel"/>
    <w:tmpl w:val="5454AF08"/>
    <w:lvl w:ilvl="0" w:tplc="C786124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7"/>
  </w:num>
  <w:num w:numId="5">
    <w:abstractNumId w:val="15"/>
  </w:num>
  <w:num w:numId="6">
    <w:abstractNumId w:val="13"/>
  </w:num>
  <w:num w:numId="7">
    <w:abstractNumId w:val="19"/>
  </w:num>
  <w:num w:numId="8">
    <w:abstractNumId w:val="20"/>
  </w:num>
  <w:num w:numId="9">
    <w:abstractNumId w:val="18"/>
  </w:num>
  <w:num w:numId="10">
    <w:abstractNumId w:val="16"/>
  </w:num>
  <w:num w:numId="11">
    <w:abstractNumId w:val="3"/>
  </w:num>
  <w:num w:numId="12">
    <w:abstractNumId w:val="7"/>
  </w:num>
  <w:num w:numId="13">
    <w:abstractNumId w:val="5"/>
  </w:num>
  <w:num w:numId="14">
    <w:abstractNumId w:val="4"/>
  </w:num>
  <w:num w:numId="15">
    <w:abstractNumId w:val="1"/>
  </w:num>
  <w:num w:numId="16">
    <w:abstractNumId w:val="8"/>
  </w:num>
  <w:num w:numId="17">
    <w:abstractNumId w:val="9"/>
  </w:num>
  <w:num w:numId="18">
    <w:abstractNumId w:val="14"/>
  </w:num>
  <w:num w:numId="19">
    <w:abstractNumId w:val="21"/>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2"/>
  </w:num>
  <w:num w:numId="24">
    <w:abstractNumId w:val="10"/>
  </w:num>
  <w:num w:numId="25">
    <w:abstractNumId w:val="11"/>
    <w:lvlOverride w:ilvl="0">
      <w:startOverride w:val="1"/>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AA"/>
    <w:rsid w:val="00001109"/>
    <w:rsid w:val="000155A4"/>
    <w:rsid w:val="000662E9"/>
    <w:rsid w:val="000E31FB"/>
    <w:rsid w:val="00117B55"/>
    <w:rsid w:val="00140924"/>
    <w:rsid w:val="00156391"/>
    <w:rsid w:val="0017464F"/>
    <w:rsid w:val="001774E1"/>
    <w:rsid w:val="00193323"/>
    <w:rsid w:val="001D07E6"/>
    <w:rsid w:val="001D1B20"/>
    <w:rsid w:val="002078E2"/>
    <w:rsid w:val="002204FA"/>
    <w:rsid w:val="00260C7F"/>
    <w:rsid w:val="002A28B7"/>
    <w:rsid w:val="002C4EB6"/>
    <w:rsid w:val="00311C79"/>
    <w:rsid w:val="003A34D2"/>
    <w:rsid w:val="003D0E20"/>
    <w:rsid w:val="003F52DE"/>
    <w:rsid w:val="003F71BD"/>
    <w:rsid w:val="004242C2"/>
    <w:rsid w:val="0045293A"/>
    <w:rsid w:val="004A11F9"/>
    <w:rsid w:val="004A1EF8"/>
    <w:rsid w:val="004D2BD4"/>
    <w:rsid w:val="00520000"/>
    <w:rsid w:val="0052380A"/>
    <w:rsid w:val="00532C21"/>
    <w:rsid w:val="005534E7"/>
    <w:rsid w:val="00554A05"/>
    <w:rsid w:val="00562389"/>
    <w:rsid w:val="00573EF8"/>
    <w:rsid w:val="006674BA"/>
    <w:rsid w:val="006D3A4C"/>
    <w:rsid w:val="006D5D22"/>
    <w:rsid w:val="00725CA2"/>
    <w:rsid w:val="00734C13"/>
    <w:rsid w:val="00740FE8"/>
    <w:rsid w:val="00746127"/>
    <w:rsid w:val="00782C7D"/>
    <w:rsid w:val="007C6ACF"/>
    <w:rsid w:val="007F4437"/>
    <w:rsid w:val="00815B77"/>
    <w:rsid w:val="0083152A"/>
    <w:rsid w:val="008661C6"/>
    <w:rsid w:val="00871D00"/>
    <w:rsid w:val="00872882"/>
    <w:rsid w:val="008771C6"/>
    <w:rsid w:val="008813F7"/>
    <w:rsid w:val="008D1D2A"/>
    <w:rsid w:val="008D5D7F"/>
    <w:rsid w:val="00905B1F"/>
    <w:rsid w:val="00931C78"/>
    <w:rsid w:val="009D1BAA"/>
    <w:rsid w:val="009D3011"/>
    <w:rsid w:val="00AF4285"/>
    <w:rsid w:val="00B54687"/>
    <w:rsid w:val="00B66326"/>
    <w:rsid w:val="00B732F3"/>
    <w:rsid w:val="00B85A07"/>
    <w:rsid w:val="00B93DD6"/>
    <w:rsid w:val="00BA11CB"/>
    <w:rsid w:val="00BB5AE0"/>
    <w:rsid w:val="00C24155"/>
    <w:rsid w:val="00C26173"/>
    <w:rsid w:val="00C40C2B"/>
    <w:rsid w:val="00C437E5"/>
    <w:rsid w:val="00C43F1C"/>
    <w:rsid w:val="00CA3BE1"/>
    <w:rsid w:val="00CD2FA1"/>
    <w:rsid w:val="00D73745"/>
    <w:rsid w:val="00DB36C1"/>
    <w:rsid w:val="00DC449A"/>
    <w:rsid w:val="00DD1F3C"/>
    <w:rsid w:val="00E66D2B"/>
    <w:rsid w:val="00E91898"/>
    <w:rsid w:val="00F05E37"/>
    <w:rsid w:val="00F06BD9"/>
    <w:rsid w:val="00F333D8"/>
    <w:rsid w:val="00FA077A"/>
    <w:rsid w:val="00FA7D38"/>
    <w:rsid w:val="00FF1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D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73"/>
  </w:style>
  <w:style w:type="paragraph" w:styleId="Titre1">
    <w:name w:val="heading 1"/>
    <w:basedOn w:val="Paragraphedeliste"/>
    <w:next w:val="Normal"/>
    <w:link w:val="Titre1Car"/>
    <w:uiPriority w:val="9"/>
    <w:qFormat/>
    <w:rsid w:val="00C26173"/>
    <w:pPr>
      <w:numPr>
        <w:numId w:val="16"/>
      </w:numPr>
      <w:outlineLvl w:val="0"/>
    </w:pPr>
    <w:rPr>
      <w:b/>
      <w:color w:val="FF0000"/>
      <w:sz w:val="24"/>
    </w:rPr>
  </w:style>
  <w:style w:type="paragraph" w:styleId="Titre2">
    <w:name w:val="heading 2"/>
    <w:basedOn w:val="Paragraphedeliste"/>
    <w:next w:val="Normal"/>
    <w:link w:val="Titre2Car"/>
    <w:uiPriority w:val="9"/>
    <w:unhideWhenUsed/>
    <w:qFormat/>
    <w:rsid w:val="003F52DE"/>
    <w:pPr>
      <w:numPr>
        <w:ilvl w:val="1"/>
        <w:numId w:val="1"/>
      </w:numPr>
      <w:outlineLvl w:val="1"/>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1BAA"/>
    <w:pPr>
      <w:ind w:left="720"/>
      <w:contextualSpacing/>
    </w:pPr>
  </w:style>
  <w:style w:type="paragraph" w:styleId="En-tte">
    <w:name w:val="header"/>
    <w:basedOn w:val="Normal"/>
    <w:link w:val="En-tteCar"/>
    <w:uiPriority w:val="99"/>
    <w:unhideWhenUsed/>
    <w:rsid w:val="005534E7"/>
    <w:pPr>
      <w:tabs>
        <w:tab w:val="center" w:pos="4536"/>
        <w:tab w:val="right" w:pos="9072"/>
      </w:tabs>
      <w:spacing w:after="0" w:line="240" w:lineRule="auto"/>
    </w:pPr>
  </w:style>
  <w:style w:type="character" w:customStyle="1" w:styleId="En-tteCar">
    <w:name w:val="En-tête Car"/>
    <w:basedOn w:val="Policepardfaut"/>
    <w:link w:val="En-tte"/>
    <w:uiPriority w:val="99"/>
    <w:rsid w:val="005534E7"/>
  </w:style>
  <w:style w:type="paragraph" w:styleId="Pieddepage">
    <w:name w:val="footer"/>
    <w:basedOn w:val="Normal"/>
    <w:link w:val="PieddepageCar"/>
    <w:uiPriority w:val="99"/>
    <w:unhideWhenUsed/>
    <w:rsid w:val="00553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34E7"/>
  </w:style>
  <w:style w:type="paragraph" w:styleId="Textedebulles">
    <w:name w:val="Balloon Text"/>
    <w:basedOn w:val="Normal"/>
    <w:link w:val="TextedebullesCar"/>
    <w:uiPriority w:val="99"/>
    <w:semiHidden/>
    <w:unhideWhenUsed/>
    <w:rsid w:val="00F06B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6BD9"/>
    <w:rPr>
      <w:rFonts w:ascii="Segoe UI" w:hAnsi="Segoe UI" w:cs="Segoe UI"/>
      <w:sz w:val="18"/>
      <w:szCs w:val="18"/>
    </w:rPr>
  </w:style>
  <w:style w:type="character" w:customStyle="1" w:styleId="Titre1Car">
    <w:name w:val="Titre 1 Car"/>
    <w:basedOn w:val="Policepardfaut"/>
    <w:link w:val="Titre1"/>
    <w:uiPriority w:val="9"/>
    <w:rsid w:val="00C26173"/>
    <w:rPr>
      <w:b/>
      <w:color w:val="FF0000"/>
      <w:sz w:val="24"/>
    </w:rPr>
  </w:style>
  <w:style w:type="character" w:customStyle="1" w:styleId="Titre2Car">
    <w:name w:val="Titre 2 Car"/>
    <w:basedOn w:val="Policepardfaut"/>
    <w:link w:val="Titre2"/>
    <w:uiPriority w:val="9"/>
    <w:rsid w:val="003F52DE"/>
    <w:rPr>
      <w:b/>
      <w:sz w:val="24"/>
      <w:u w:val="single"/>
    </w:rPr>
  </w:style>
  <w:style w:type="character" w:styleId="Textedelespacerserv">
    <w:name w:val="Placeholder Text"/>
    <w:basedOn w:val="Policepardfaut"/>
    <w:uiPriority w:val="99"/>
    <w:semiHidden/>
    <w:rsid w:val="00117B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73"/>
  </w:style>
  <w:style w:type="paragraph" w:styleId="Titre1">
    <w:name w:val="heading 1"/>
    <w:basedOn w:val="Paragraphedeliste"/>
    <w:next w:val="Normal"/>
    <w:link w:val="Titre1Car"/>
    <w:uiPriority w:val="9"/>
    <w:qFormat/>
    <w:rsid w:val="00C26173"/>
    <w:pPr>
      <w:numPr>
        <w:numId w:val="16"/>
      </w:numPr>
      <w:outlineLvl w:val="0"/>
    </w:pPr>
    <w:rPr>
      <w:b/>
      <w:color w:val="FF0000"/>
      <w:sz w:val="24"/>
    </w:rPr>
  </w:style>
  <w:style w:type="paragraph" w:styleId="Titre2">
    <w:name w:val="heading 2"/>
    <w:basedOn w:val="Paragraphedeliste"/>
    <w:next w:val="Normal"/>
    <w:link w:val="Titre2Car"/>
    <w:uiPriority w:val="9"/>
    <w:unhideWhenUsed/>
    <w:qFormat/>
    <w:rsid w:val="003F52DE"/>
    <w:pPr>
      <w:numPr>
        <w:ilvl w:val="1"/>
        <w:numId w:val="1"/>
      </w:numPr>
      <w:outlineLvl w:val="1"/>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1BAA"/>
    <w:pPr>
      <w:ind w:left="720"/>
      <w:contextualSpacing/>
    </w:pPr>
  </w:style>
  <w:style w:type="paragraph" w:styleId="En-tte">
    <w:name w:val="header"/>
    <w:basedOn w:val="Normal"/>
    <w:link w:val="En-tteCar"/>
    <w:uiPriority w:val="99"/>
    <w:unhideWhenUsed/>
    <w:rsid w:val="005534E7"/>
    <w:pPr>
      <w:tabs>
        <w:tab w:val="center" w:pos="4536"/>
        <w:tab w:val="right" w:pos="9072"/>
      </w:tabs>
      <w:spacing w:after="0" w:line="240" w:lineRule="auto"/>
    </w:pPr>
  </w:style>
  <w:style w:type="character" w:customStyle="1" w:styleId="En-tteCar">
    <w:name w:val="En-tête Car"/>
    <w:basedOn w:val="Policepardfaut"/>
    <w:link w:val="En-tte"/>
    <w:uiPriority w:val="99"/>
    <w:rsid w:val="005534E7"/>
  </w:style>
  <w:style w:type="paragraph" w:styleId="Pieddepage">
    <w:name w:val="footer"/>
    <w:basedOn w:val="Normal"/>
    <w:link w:val="PieddepageCar"/>
    <w:uiPriority w:val="99"/>
    <w:unhideWhenUsed/>
    <w:rsid w:val="00553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34E7"/>
  </w:style>
  <w:style w:type="paragraph" w:styleId="Textedebulles">
    <w:name w:val="Balloon Text"/>
    <w:basedOn w:val="Normal"/>
    <w:link w:val="TextedebullesCar"/>
    <w:uiPriority w:val="99"/>
    <w:semiHidden/>
    <w:unhideWhenUsed/>
    <w:rsid w:val="00F06B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6BD9"/>
    <w:rPr>
      <w:rFonts w:ascii="Segoe UI" w:hAnsi="Segoe UI" w:cs="Segoe UI"/>
      <w:sz w:val="18"/>
      <w:szCs w:val="18"/>
    </w:rPr>
  </w:style>
  <w:style w:type="character" w:customStyle="1" w:styleId="Titre1Car">
    <w:name w:val="Titre 1 Car"/>
    <w:basedOn w:val="Policepardfaut"/>
    <w:link w:val="Titre1"/>
    <w:uiPriority w:val="9"/>
    <w:rsid w:val="00C26173"/>
    <w:rPr>
      <w:b/>
      <w:color w:val="FF0000"/>
      <w:sz w:val="24"/>
    </w:rPr>
  </w:style>
  <w:style w:type="character" w:customStyle="1" w:styleId="Titre2Car">
    <w:name w:val="Titre 2 Car"/>
    <w:basedOn w:val="Policepardfaut"/>
    <w:link w:val="Titre2"/>
    <w:uiPriority w:val="9"/>
    <w:rsid w:val="003F52DE"/>
    <w:rPr>
      <w:b/>
      <w:sz w:val="24"/>
      <w:u w:val="single"/>
    </w:rPr>
  </w:style>
  <w:style w:type="character" w:styleId="Textedelespacerserv">
    <w:name w:val="Placeholder Text"/>
    <w:basedOn w:val="Policepardfaut"/>
    <w:uiPriority w:val="99"/>
    <w:semiHidden/>
    <w:rsid w:val="00117B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5655-DC20-40A7-B5F1-1B066D82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Pages>
  <Words>861</Words>
  <Characters>4739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18</cp:revision>
  <cp:lastPrinted>2014-12-12T17:06:00Z</cp:lastPrinted>
  <dcterms:created xsi:type="dcterms:W3CDTF">2015-01-26T07:19:00Z</dcterms:created>
  <dcterms:modified xsi:type="dcterms:W3CDTF">2018-02-26T17:43:00Z</dcterms:modified>
</cp:coreProperties>
</file>