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B71B3" w14:textId="77777777" w:rsidR="00B76003" w:rsidRDefault="00037EE1">
      <w:pPr>
        <w:pStyle w:val="Sous-titre"/>
      </w:pPr>
      <w:r>
        <w:t xml:space="preserve">CHAPITRE 3 - LA DISTRIBUTION EN FRANCE ET SES FORMATS </w:t>
      </w:r>
    </w:p>
    <w:p w14:paraId="3C95E34E" w14:textId="77777777" w:rsidR="00B76003" w:rsidRDefault="00B76003">
      <w:pPr>
        <w:pStyle w:val="Corps"/>
      </w:pPr>
    </w:p>
    <w:p w14:paraId="5D3DFAE1" w14:textId="77777777" w:rsidR="00B76003" w:rsidRDefault="00037EE1">
      <w:pPr>
        <w:pStyle w:val="Sous-section2"/>
        <w:numPr>
          <w:ilvl w:val="0"/>
          <w:numId w:val="2"/>
        </w:numPr>
      </w:pPr>
      <w:r>
        <w:t xml:space="preserve">L’IMPORTANCE ECONOMIQUE </w:t>
      </w:r>
    </w:p>
    <w:p w14:paraId="2DCE77E2" w14:textId="77777777" w:rsidR="00B76003" w:rsidRDefault="00B76003">
      <w:pPr>
        <w:pStyle w:val="Corps"/>
      </w:pPr>
    </w:p>
    <w:p w14:paraId="64D9F363" w14:textId="77777777" w:rsidR="00B76003" w:rsidRDefault="00037EE1">
      <w:pPr>
        <w:pStyle w:val="Corps"/>
      </w:pPr>
      <w:r>
        <w:t>CA ET EMPLOIS DU COMMERCE EN FRANCE EN 2014</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08"/>
        <w:gridCol w:w="2408"/>
        <w:gridCol w:w="2408"/>
        <w:gridCol w:w="2408"/>
      </w:tblGrid>
      <w:tr w:rsidR="00B76003" w:rsidRPr="00250211" w14:paraId="3D67A8D1" w14:textId="77777777">
        <w:trPr>
          <w:trHeight w:val="322"/>
        </w:trPr>
        <w:tc>
          <w:tcPr>
            <w:tcW w:w="240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85B1873" w14:textId="77777777" w:rsidR="00B76003" w:rsidRDefault="00037EE1">
            <w:pPr>
              <w:pStyle w:val="Styledetableau2"/>
            </w:pPr>
            <w:r>
              <w:rPr>
                <w:rFonts w:eastAsia="Arial Unicode MS" w:cs="Arial Unicode MS"/>
              </w:rPr>
              <w:t>BRANCHE D’ACTIVITÉ</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9C5B470" w14:textId="77777777" w:rsidR="00B76003" w:rsidRDefault="00037EE1">
            <w:pPr>
              <w:pStyle w:val="Styledetableau2"/>
            </w:pPr>
            <w:r>
              <w:rPr>
                <w:rFonts w:eastAsia="Arial Unicode MS" w:cs="Arial Unicode MS"/>
              </w:rPr>
              <w:t>CA en milliards d’euros</w:t>
            </w:r>
          </w:p>
        </w:tc>
        <w:tc>
          <w:tcPr>
            <w:tcW w:w="4816"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A82386" w14:textId="77777777" w:rsidR="00B76003" w:rsidRDefault="00037EE1">
            <w:pPr>
              <w:pStyle w:val="Styledetableau2"/>
            </w:pPr>
            <w:r>
              <w:rPr>
                <w:rFonts w:eastAsia="Arial Unicode MS" w:cs="Arial Unicode MS"/>
              </w:rPr>
              <w:t>Part de la branche dans le commerce total en %</w:t>
            </w:r>
          </w:p>
        </w:tc>
      </w:tr>
      <w:tr w:rsidR="00B76003" w14:paraId="0AD75D05" w14:textId="77777777">
        <w:trPr>
          <w:trHeight w:val="322"/>
        </w:trPr>
        <w:tc>
          <w:tcPr>
            <w:tcW w:w="2408" w:type="dxa"/>
            <w:vMerge/>
            <w:tcBorders>
              <w:top w:val="single" w:sz="2" w:space="0" w:color="000000"/>
              <w:left w:val="single" w:sz="2" w:space="0" w:color="000000"/>
              <w:bottom w:val="single" w:sz="2" w:space="0" w:color="000000"/>
              <w:right w:val="single" w:sz="2" w:space="0" w:color="000000"/>
            </w:tcBorders>
            <w:shd w:val="clear" w:color="auto" w:fill="FFFFFF"/>
          </w:tcPr>
          <w:p w14:paraId="4CC42B4C" w14:textId="77777777" w:rsidR="00B76003" w:rsidRPr="00250211" w:rsidRDefault="00B76003">
            <w:pPr>
              <w:rPr>
                <w:lang w:val="fr-FR"/>
              </w:rP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FFFFFF"/>
          </w:tcPr>
          <w:p w14:paraId="1CBDE67E" w14:textId="77777777" w:rsidR="00B76003" w:rsidRPr="00250211" w:rsidRDefault="00B76003">
            <w:pPr>
              <w:rPr>
                <w:lang w:val="fr-FR"/>
              </w:rPr>
            </w:pP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40281F" w14:textId="77777777" w:rsidR="00B76003" w:rsidRDefault="00037EE1">
            <w:pPr>
              <w:pStyle w:val="Styledetableau2"/>
            </w:pPr>
            <w:r>
              <w:rPr>
                <w:rFonts w:eastAsia="Arial Unicode MS" w:cs="Arial Unicode MS"/>
              </w:rPr>
              <w:t>Part dans les ventes</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44FF785" w14:textId="77777777" w:rsidR="00B76003" w:rsidRDefault="00037EE1">
            <w:pPr>
              <w:pStyle w:val="Styledetableau2"/>
            </w:pPr>
            <w:r>
              <w:rPr>
                <w:rFonts w:eastAsia="Arial Unicode MS" w:cs="Arial Unicode MS"/>
              </w:rPr>
              <w:t>Part des emplois</w:t>
            </w:r>
          </w:p>
        </w:tc>
      </w:tr>
      <w:tr w:rsidR="00B76003" w14:paraId="088131F5" w14:textId="77777777">
        <w:trPr>
          <w:trHeight w:val="642"/>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184909" w14:textId="77777777" w:rsidR="00B76003" w:rsidRDefault="00037EE1">
            <w:pPr>
              <w:pStyle w:val="Styledetableau2"/>
            </w:pPr>
            <w:r>
              <w:rPr>
                <w:rFonts w:eastAsia="Arial Unicode MS" w:cs="Arial Unicode MS"/>
              </w:rPr>
              <w:t>Commerce de gros, intermédiaires</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5B684EE" w14:textId="77777777" w:rsidR="00B76003" w:rsidRDefault="00037EE1">
            <w:pPr>
              <w:pStyle w:val="Styledetableau2"/>
            </w:pPr>
            <w:r>
              <w:rPr>
                <w:rFonts w:eastAsia="Arial Unicode MS" w:cs="Arial Unicode MS"/>
              </w:rPr>
              <w:t>605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616942D" w14:textId="77777777" w:rsidR="00B76003" w:rsidRDefault="00037EE1">
            <w:pPr>
              <w:pStyle w:val="Styledetableau2"/>
            </w:pPr>
            <w:r>
              <w:rPr>
                <w:rFonts w:eastAsia="Arial Unicode MS" w:cs="Arial Unicode MS"/>
              </w:rPr>
              <w:t>50,39 %</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B3F5A8A" w14:textId="77777777" w:rsidR="00B76003" w:rsidRDefault="00037EE1">
            <w:pPr>
              <w:pStyle w:val="Styledetableau2"/>
            </w:pPr>
            <w:r>
              <w:rPr>
                <w:rFonts w:eastAsia="Arial Unicode MS" w:cs="Arial Unicode MS"/>
              </w:rPr>
              <w:t>32 %</w:t>
            </w:r>
          </w:p>
        </w:tc>
      </w:tr>
      <w:tr w:rsidR="00B76003" w14:paraId="01146569" w14:textId="77777777">
        <w:trPr>
          <w:trHeight w:val="322"/>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6644F7" w14:textId="77777777" w:rsidR="00B76003" w:rsidRDefault="00037EE1">
            <w:pPr>
              <w:pStyle w:val="Styledetableau2"/>
            </w:pPr>
            <w:r>
              <w:rPr>
                <w:rFonts w:eastAsia="Arial Unicode MS" w:cs="Arial Unicode MS"/>
              </w:rPr>
              <w:t>Commerce de détail</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70A413" w14:textId="77777777" w:rsidR="00B76003" w:rsidRDefault="00037EE1">
            <w:pPr>
              <w:pStyle w:val="Styledetableau2"/>
            </w:pPr>
            <w:r>
              <w:rPr>
                <w:rFonts w:eastAsia="Arial Unicode MS" w:cs="Arial Unicode MS"/>
              </w:rPr>
              <w:t>492</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9535FC5" w14:textId="77777777" w:rsidR="00B76003" w:rsidRDefault="00037EE1">
            <w:pPr>
              <w:pStyle w:val="Styledetableau2"/>
            </w:pPr>
            <w:r>
              <w:rPr>
                <w:rFonts w:eastAsia="Arial Unicode MS" w:cs="Arial Unicode MS"/>
              </w:rPr>
              <w:t>40,90 %</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8DCD93" w14:textId="77777777" w:rsidR="00B76003" w:rsidRDefault="00037EE1">
            <w:pPr>
              <w:pStyle w:val="Styledetableau2"/>
            </w:pPr>
            <w:r>
              <w:rPr>
                <w:rFonts w:eastAsia="Arial Unicode MS" w:cs="Arial Unicode MS"/>
              </w:rPr>
              <w:t>55 %</w:t>
            </w:r>
          </w:p>
        </w:tc>
      </w:tr>
      <w:tr w:rsidR="00B76003" w14:paraId="1F79D6F8" w14:textId="77777777">
        <w:trPr>
          <w:trHeight w:val="642"/>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831AEE" w14:textId="77777777" w:rsidR="00B76003" w:rsidRDefault="00037EE1">
            <w:pPr>
              <w:pStyle w:val="Styledetableau2"/>
            </w:pPr>
            <w:r>
              <w:rPr>
                <w:rFonts w:eastAsia="Arial Unicode MS" w:cs="Arial Unicode MS"/>
              </w:rPr>
              <w:t>Commerce et réparation automobiles</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EACCF43" w14:textId="77777777" w:rsidR="00B76003" w:rsidRDefault="00037EE1">
            <w:pPr>
              <w:pStyle w:val="Styledetableau2"/>
            </w:pPr>
            <w:r>
              <w:rPr>
                <w:rFonts w:eastAsia="Arial Unicode MS" w:cs="Arial Unicode MS"/>
              </w:rPr>
              <w:t>105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982884" w14:textId="77777777" w:rsidR="00B76003" w:rsidRDefault="00037EE1">
            <w:pPr>
              <w:pStyle w:val="Styledetableau2"/>
            </w:pPr>
            <w:r>
              <w:rPr>
                <w:rFonts w:eastAsia="Arial Unicode MS" w:cs="Arial Unicode MS"/>
              </w:rPr>
              <w:t>8,72 %</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657558D" w14:textId="77777777" w:rsidR="00B76003" w:rsidRDefault="00037EE1">
            <w:pPr>
              <w:pStyle w:val="Styledetableau2"/>
            </w:pPr>
            <w:r>
              <w:rPr>
                <w:rFonts w:eastAsia="Arial Unicode MS" w:cs="Arial Unicode MS"/>
              </w:rPr>
              <w:t>12,3 %</w:t>
            </w:r>
          </w:p>
        </w:tc>
      </w:tr>
      <w:tr w:rsidR="00B76003" w14:paraId="667EAA2D" w14:textId="77777777">
        <w:trPr>
          <w:trHeight w:val="322"/>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038AC48" w14:textId="77777777" w:rsidR="00B76003" w:rsidRDefault="00037EE1">
            <w:pPr>
              <w:pStyle w:val="Styledetableau2"/>
            </w:pPr>
            <w:r>
              <w:rPr>
                <w:rFonts w:eastAsia="Arial Unicode MS" w:cs="Arial Unicode MS"/>
              </w:rPr>
              <w:t>Ensemble du commerce</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93604DF" w14:textId="77777777" w:rsidR="00B76003" w:rsidRDefault="00037EE1">
            <w:pPr>
              <w:pStyle w:val="Styledetableau2"/>
            </w:pPr>
            <w:r>
              <w:rPr>
                <w:rFonts w:eastAsia="Arial Unicode MS" w:cs="Arial Unicode MS"/>
              </w:rPr>
              <w:t>1203,50</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65BA1F" w14:textId="77777777" w:rsidR="00B76003" w:rsidRDefault="00037EE1">
            <w:pPr>
              <w:pStyle w:val="Styledetableau2"/>
            </w:pPr>
            <w:r>
              <w:rPr>
                <w:rFonts w:eastAsia="Arial Unicode MS" w:cs="Arial Unicode MS"/>
              </w:rPr>
              <w:t>100,00 %</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A232AC" w14:textId="77777777" w:rsidR="00B76003" w:rsidRDefault="00037EE1">
            <w:pPr>
              <w:pStyle w:val="Styledetableau2"/>
            </w:pPr>
            <w:r>
              <w:rPr>
                <w:rFonts w:eastAsia="Arial Unicode MS" w:cs="Arial Unicode MS"/>
              </w:rPr>
              <w:t>100 %</w:t>
            </w:r>
          </w:p>
        </w:tc>
      </w:tr>
    </w:tbl>
    <w:p w14:paraId="24537B4F" w14:textId="77777777" w:rsidR="00B76003" w:rsidRDefault="00B76003">
      <w:pPr>
        <w:pStyle w:val="Corps"/>
      </w:pPr>
    </w:p>
    <w:p w14:paraId="31AE3BF3" w14:textId="77777777" w:rsidR="00B76003" w:rsidRDefault="00B76003">
      <w:pPr>
        <w:pStyle w:val="Sous-section2"/>
      </w:pPr>
    </w:p>
    <w:p w14:paraId="043EA03D" w14:textId="77777777" w:rsidR="00B76003" w:rsidRDefault="00B76003">
      <w:pPr>
        <w:pStyle w:val="Corps"/>
      </w:pPr>
    </w:p>
    <w:p w14:paraId="7195F828" w14:textId="77777777" w:rsidR="00B76003" w:rsidRDefault="00037EE1">
      <w:pPr>
        <w:pStyle w:val="Sous-section2"/>
        <w:numPr>
          <w:ilvl w:val="0"/>
          <w:numId w:val="2"/>
        </w:numPr>
      </w:pPr>
      <w:r>
        <w:t>LA DISRIBUTION</w:t>
      </w:r>
    </w:p>
    <w:p w14:paraId="215E18FC" w14:textId="77777777" w:rsidR="00B76003" w:rsidRDefault="00B76003">
      <w:pPr>
        <w:pStyle w:val="Corps"/>
      </w:pPr>
    </w:p>
    <w:p w14:paraId="31F1382A" w14:textId="77777777" w:rsidR="00B76003" w:rsidRDefault="00037EE1">
      <w:pPr>
        <w:pStyle w:val="Ss-section3"/>
        <w:numPr>
          <w:ilvl w:val="0"/>
          <w:numId w:val="4"/>
        </w:numPr>
      </w:pPr>
      <w:r>
        <w:t>LA TYPOLOGIE PAR MODE DE GOUVERNANCE</w:t>
      </w:r>
    </w:p>
    <w:p w14:paraId="0E047B14" w14:textId="77777777" w:rsidR="00B76003" w:rsidRDefault="00037EE1">
      <w:pPr>
        <w:pStyle w:val="Sous-sectionrouge"/>
        <w:numPr>
          <w:ilvl w:val="1"/>
          <w:numId w:val="6"/>
        </w:numPr>
        <w:rPr>
          <w:color w:val="000000"/>
        </w:rPr>
      </w:pPr>
      <w:r>
        <w:tab/>
        <w:t xml:space="preserve">Le commerce indépendant : </w:t>
      </w:r>
      <w:r>
        <w:rPr>
          <w:color w:val="000000"/>
        </w:rPr>
        <w:t>le commerçant est totalement libre et responsable financièrement et juridiquement de son activité</w:t>
      </w:r>
    </w:p>
    <w:p w14:paraId="5CF25D3F" w14:textId="77777777" w:rsidR="00B76003" w:rsidRDefault="00037EE1">
      <w:pPr>
        <w:pStyle w:val="Corps"/>
      </w:pPr>
      <w:r>
        <w:tab/>
        <w:t xml:space="preserve">C’est 10% du commerce de détail, 3/4 </w:t>
      </w:r>
      <w:proofErr w:type="gramStart"/>
      <w:r>
        <w:t>des entreprise</w:t>
      </w:r>
      <w:proofErr w:type="gramEnd"/>
      <w:r>
        <w:t xml:space="preserve"> de distribution, moins de 1/4 d’emplois. Ce format est en forte baisse depuis plusieurs années. </w:t>
      </w:r>
    </w:p>
    <w:p w14:paraId="58F00F74" w14:textId="77777777" w:rsidR="00B76003" w:rsidRDefault="00B76003">
      <w:pPr>
        <w:pStyle w:val="Sous-sectionrouge"/>
      </w:pPr>
    </w:p>
    <w:p w14:paraId="0C8DBF9E" w14:textId="77777777" w:rsidR="00B76003" w:rsidRDefault="00037EE1">
      <w:pPr>
        <w:pStyle w:val="Sous-sectionrouge"/>
        <w:numPr>
          <w:ilvl w:val="1"/>
          <w:numId w:val="6"/>
        </w:numPr>
      </w:pPr>
      <w:r>
        <w:t xml:space="preserve">Le commerce associé : </w:t>
      </w:r>
    </w:p>
    <w:p w14:paraId="34FCC825" w14:textId="77777777" w:rsidR="00B76003" w:rsidRDefault="00037EE1">
      <w:pPr>
        <w:pStyle w:val="Corps"/>
      </w:pPr>
      <w:proofErr w:type="gramStart"/>
      <w:r>
        <w:t>le</w:t>
      </w:r>
      <w:proofErr w:type="gramEnd"/>
      <w:r>
        <w:t xml:space="preserve"> commerçant est responsable juridiquement et financièrement de </w:t>
      </w:r>
      <w:proofErr w:type="spellStart"/>
      <w:r>
        <w:t>sont</w:t>
      </w:r>
      <w:proofErr w:type="spellEnd"/>
      <w:r>
        <w:t xml:space="preserve"> activité mais il contracte des engagements envers une structure externe en échange de service </w:t>
      </w:r>
    </w:p>
    <w:p w14:paraId="609712AC" w14:textId="77777777" w:rsidR="00B76003" w:rsidRDefault="00B76003">
      <w:pPr>
        <w:pStyle w:val="Corps"/>
      </w:pPr>
    </w:p>
    <w:p w14:paraId="1EB44B85" w14:textId="77777777" w:rsidR="00B76003" w:rsidRDefault="00037EE1">
      <w:pPr>
        <w:pStyle w:val="Corps"/>
      </w:pPr>
      <w:r>
        <w:t>MARQUE —&gt; notoriété et image</w:t>
      </w:r>
    </w:p>
    <w:p w14:paraId="05C1EA89" w14:textId="77777777" w:rsidR="00B76003" w:rsidRDefault="00037EE1">
      <w:pPr>
        <w:pStyle w:val="Corps"/>
      </w:pPr>
      <w:r>
        <w:t>STRUCTURE D’ACHAT ET D’APPROVISIONNEMENT —&gt; centrale d’achat, logistique</w:t>
      </w:r>
    </w:p>
    <w:p w14:paraId="7B4F4C9A" w14:textId="77777777" w:rsidR="00B76003" w:rsidRDefault="00037EE1">
      <w:pPr>
        <w:pStyle w:val="Corps"/>
      </w:pPr>
      <w:r>
        <w:lastRenderedPageBreak/>
        <w:t>SAVOIR FAIRE MARKETING —&gt; concept, études, offre, communication, merchandising</w:t>
      </w:r>
    </w:p>
    <w:p w14:paraId="2C3AB10C" w14:textId="77777777" w:rsidR="00B76003" w:rsidRDefault="00037EE1">
      <w:pPr>
        <w:pStyle w:val="Corps"/>
      </w:pPr>
      <w:r>
        <w:t xml:space="preserve">SOUTIEN FINANCIER —&gt; assistance au financement, caution auprès des fournisseurs </w:t>
      </w:r>
    </w:p>
    <w:p w14:paraId="62A6F1FF" w14:textId="77777777" w:rsidR="00B76003" w:rsidRDefault="00B76003">
      <w:pPr>
        <w:pStyle w:val="Corps"/>
      </w:pPr>
    </w:p>
    <w:p w14:paraId="399EBF45" w14:textId="77777777" w:rsidR="00B76003" w:rsidRDefault="00B76003">
      <w:pPr>
        <w:pStyle w:val="Corps"/>
      </w:pPr>
    </w:p>
    <w:p w14:paraId="1A1C88AB" w14:textId="77777777" w:rsidR="00B76003" w:rsidRDefault="00037EE1">
      <w:pPr>
        <w:pStyle w:val="Corps"/>
      </w:pPr>
      <w:r>
        <w:t>Deux types de contrats :</w:t>
      </w:r>
    </w:p>
    <w:p w14:paraId="53B3D05A" w14:textId="77777777" w:rsidR="00B76003" w:rsidRDefault="00037EE1">
      <w:pPr>
        <w:pStyle w:val="Corps"/>
      </w:pPr>
      <w:r>
        <w:rPr>
          <w:color w:val="357CA2"/>
        </w:rPr>
        <w:t>Groupement de commerçants</w:t>
      </w:r>
      <w:r>
        <w:t xml:space="preserve"> : grossiste ou détaillant. Des indépendant mettent des moyens en communs pour développer leur activité ou réduire leur coûts. Les adhérents dirigent le groupement. Ils sont libres de quitter le groupement à tout moment et peuvent faire des achats ailleurs </w:t>
      </w:r>
      <w:proofErr w:type="gramStart"/>
      <w:r>
        <w:t>qu’à la</w:t>
      </w:r>
      <w:proofErr w:type="gramEnd"/>
      <w:r>
        <w:t xml:space="preserve"> central d’achat ou coopérative. (</w:t>
      </w:r>
      <w:proofErr w:type="spellStart"/>
      <w:r>
        <w:t>E.Leclerc</w:t>
      </w:r>
      <w:proofErr w:type="spellEnd"/>
      <w:r>
        <w:t xml:space="preserve">, </w:t>
      </w:r>
      <w:proofErr w:type="spellStart"/>
      <w:r>
        <w:t>Optic</w:t>
      </w:r>
      <w:proofErr w:type="spellEnd"/>
      <w:r>
        <w:t xml:space="preserve"> 200, Intersport, Intermarché, Super U, …)</w:t>
      </w:r>
    </w:p>
    <w:p w14:paraId="344CEA6F" w14:textId="77777777" w:rsidR="00B76003" w:rsidRDefault="00037EE1">
      <w:pPr>
        <w:pStyle w:val="Corps"/>
      </w:pPr>
      <w:r>
        <w:rPr>
          <w:color w:val="357CA2"/>
        </w:rPr>
        <w:t>La franchise</w:t>
      </w:r>
      <w:r>
        <w:t xml:space="preserve"> : c’est un contrat entre un producteur (le franchiseur) et plusieurs indépendants (les franchisés) pour exploiter une marque, un concept de service ou de distribution. C’est un men efficace et peu coûteux d’étendre son réseau de distribution. 155 réseaux de franchises, 62 000 franchises.</w:t>
      </w:r>
    </w:p>
    <w:p w14:paraId="05CA60B8" w14:textId="77777777" w:rsidR="00B76003" w:rsidRDefault="00037EE1">
      <w:pPr>
        <w:pStyle w:val="Corps"/>
      </w:pPr>
      <w:r>
        <w:rPr>
          <w:noProof/>
        </w:rPr>
        <mc:AlternateContent>
          <mc:Choice Requires="wps">
            <w:drawing>
              <wp:anchor distT="152400" distB="152400" distL="152400" distR="152400" simplePos="0" relativeHeight="251660288" behindDoc="0" locked="0" layoutInCell="1" allowOverlap="1" wp14:anchorId="5770BD4C" wp14:editId="1B1AE39B">
                <wp:simplePos x="0" y="0"/>
                <wp:positionH relativeFrom="margin">
                  <wp:posOffset>3427006</wp:posOffset>
                </wp:positionH>
                <wp:positionV relativeFrom="line">
                  <wp:posOffset>400139</wp:posOffset>
                </wp:positionV>
                <wp:extent cx="1648818" cy="80911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1648818" cy="809110"/>
                        </a:xfrm>
                        <a:prstGeom prst="rect">
                          <a:avLst/>
                        </a:prstGeom>
                        <a:noFill/>
                        <a:ln w="12700" cap="flat">
                          <a:noFill/>
                          <a:miter lim="400000"/>
                        </a:ln>
                        <a:effectLst/>
                      </wps:spPr>
                      <wps:txbx>
                        <w:txbxContent>
                          <w:p w14:paraId="17281E1F" w14:textId="77777777" w:rsidR="00B76003" w:rsidRDefault="00037EE1">
                            <w:pPr>
                              <w:pStyle w:val="Corps"/>
                            </w:pPr>
                            <w:r>
                              <w:t xml:space="preserve">Droit d’entrée </w:t>
                            </w:r>
                          </w:p>
                          <w:p w14:paraId="79185823" w14:textId="77777777" w:rsidR="00B76003" w:rsidRDefault="00037EE1">
                            <w:pPr>
                              <w:pStyle w:val="Corps"/>
                            </w:pPr>
                            <w:r>
                              <w:t>Engagement à respecter les règles du franchiseur</w:t>
                            </w:r>
                          </w:p>
                          <w:p w14:paraId="35FA1E7E" w14:textId="77777777" w:rsidR="00B76003" w:rsidRDefault="00037EE1">
                            <w:pPr>
                              <w:pStyle w:val="Corps"/>
                            </w:pPr>
                            <w:r>
                              <w:t>% du CA à reverser</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26" style="visibility:visible;position:absolute;margin-left:269.8pt;margin-top:31.5pt;width:129.8pt;height:63.7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bidi w:val="0"/>
                      </w:pPr>
                      <w:r>
                        <w:rPr>
                          <w:rtl w:val="0"/>
                        </w:rPr>
                        <w:t>Droit d</w:t>
                      </w:r>
                      <w:r>
                        <w:rPr>
                          <w:rtl w:val="0"/>
                        </w:rPr>
                        <w:t>’</w:t>
                      </w:r>
                      <w:r>
                        <w:rPr>
                          <w:rtl w:val="0"/>
                        </w:rPr>
                        <w:t>entr</w:t>
                      </w:r>
                      <w:r>
                        <w:rPr>
                          <w:rtl w:val="0"/>
                        </w:rPr>
                        <w:t>é</w:t>
                      </w:r>
                      <w:r>
                        <w:rPr>
                          <w:rtl w:val="0"/>
                        </w:rPr>
                        <w:t xml:space="preserve">e </w:t>
                      </w:r>
                    </w:p>
                    <w:p>
                      <w:pPr>
                        <w:pStyle w:val="Corps"/>
                        <w:bidi w:val="0"/>
                      </w:pPr>
                      <w:r>
                        <w:rPr>
                          <w:rtl w:val="0"/>
                        </w:rPr>
                        <w:t xml:space="preserve">Engagement </w:t>
                      </w:r>
                      <w:r>
                        <w:rPr>
                          <w:rtl w:val="0"/>
                        </w:rPr>
                        <w:t xml:space="preserve">à </w:t>
                      </w:r>
                      <w:r>
                        <w:rPr>
                          <w:rtl w:val="0"/>
                        </w:rPr>
                        <w:t>respecter les r</w:t>
                      </w:r>
                      <w:r>
                        <w:rPr>
                          <w:rtl w:val="0"/>
                        </w:rPr>
                        <w:t>è</w:t>
                      </w:r>
                      <w:r>
                        <w:rPr>
                          <w:rtl w:val="0"/>
                        </w:rPr>
                        <w:t>gles du franchiseur</w:t>
                      </w:r>
                    </w:p>
                    <w:p>
                      <w:pPr>
                        <w:pStyle w:val="Corps"/>
                        <w:bidi w:val="0"/>
                      </w:pPr>
                      <w:r>
                        <w:rPr>
                          <w:rtl w:val="0"/>
                        </w:rPr>
                        <w:t xml:space="preserve">% du CA </w:t>
                      </w:r>
                      <w:r>
                        <w:rPr>
                          <w:rtl w:val="0"/>
                        </w:rPr>
                        <w:t xml:space="preserve">à </w:t>
                      </w:r>
                      <w:r>
                        <w:rPr>
                          <w:rtl w:val="0"/>
                        </w:rPr>
                        <w:t>reverser</w:t>
                      </w:r>
                    </w:p>
                  </w:txbxContent>
                </v:textbox>
                <w10:wrap type="through" side="bothSides" anchorx="margin"/>
              </v:rect>
            </w:pict>
          </mc:Fallback>
        </mc:AlternateContent>
      </w:r>
      <w:r>
        <w:rPr>
          <w:noProof/>
        </w:rPr>
        <mc:AlternateContent>
          <mc:Choice Requires="wps">
            <w:drawing>
              <wp:anchor distT="152400" distB="152400" distL="152400" distR="152400" simplePos="0" relativeHeight="251659264" behindDoc="0" locked="0" layoutInCell="1" allowOverlap="1" wp14:anchorId="719A605C" wp14:editId="4A6FAC52">
                <wp:simplePos x="0" y="0"/>
                <wp:positionH relativeFrom="margin">
                  <wp:posOffset>3439706</wp:posOffset>
                </wp:positionH>
                <wp:positionV relativeFrom="line">
                  <wp:posOffset>406489</wp:posOffset>
                </wp:positionV>
                <wp:extent cx="1636118" cy="1445955"/>
                <wp:effectExtent l="0" t="0" r="0" b="0"/>
                <wp:wrapThrough wrapText="bothSides" distL="152400" distR="152400">
                  <wp:wrapPolygon edited="1">
                    <wp:start x="-84" y="-95"/>
                    <wp:lineTo x="-84" y="0"/>
                    <wp:lineTo x="-84" y="21598"/>
                    <wp:lineTo x="-84" y="21693"/>
                    <wp:lineTo x="0" y="21693"/>
                    <wp:lineTo x="21603" y="21693"/>
                    <wp:lineTo x="21686" y="21693"/>
                    <wp:lineTo x="21686" y="21598"/>
                    <wp:lineTo x="21686" y="0"/>
                    <wp:lineTo x="21686" y="-95"/>
                    <wp:lineTo x="21603" y="-95"/>
                    <wp:lineTo x="0" y="-95"/>
                    <wp:lineTo x="-84" y="-95"/>
                  </wp:wrapPolygon>
                </wp:wrapThrough>
                <wp:docPr id="1073741826" name="officeArt object"/>
                <wp:cNvGraphicFramePr/>
                <a:graphic xmlns:a="http://schemas.openxmlformats.org/drawingml/2006/main">
                  <a:graphicData uri="http://schemas.microsoft.com/office/word/2010/wordprocessingShape">
                    <wps:wsp>
                      <wps:cNvSpPr/>
                      <wps:spPr>
                        <a:xfrm>
                          <a:off x="0" y="0"/>
                          <a:ext cx="1636118" cy="1445955"/>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27" style="visibility:visible;position:absolute;margin-left:270.8pt;margin-top:32.0pt;width:128.8pt;height:113.9pt;z-index:251659264;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r>
        <w:rPr>
          <w:noProof/>
        </w:rPr>
        <mc:AlternateContent>
          <mc:Choice Requires="wps">
            <w:drawing>
              <wp:anchor distT="152400" distB="152400" distL="152400" distR="152400" simplePos="0" relativeHeight="251662336" behindDoc="0" locked="0" layoutInCell="1" allowOverlap="1" wp14:anchorId="3932AC37" wp14:editId="68059F6E">
                <wp:simplePos x="0" y="0"/>
                <wp:positionH relativeFrom="margin">
                  <wp:posOffset>420221</wp:posOffset>
                </wp:positionH>
                <wp:positionV relativeFrom="line">
                  <wp:posOffset>400139</wp:posOffset>
                </wp:positionV>
                <wp:extent cx="1498918" cy="1594962"/>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1498918" cy="1594962"/>
                        </a:xfrm>
                        <a:prstGeom prst="rect">
                          <a:avLst/>
                        </a:prstGeom>
                        <a:noFill/>
                        <a:ln w="12700" cap="flat">
                          <a:noFill/>
                          <a:miter lim="400000"/>
                        </a:ln>
                        <a:effectLst/>
                      </wps:spPr>
                      <wps:txbx>
                        <w:txbxContent>
                          <w:p w14:paraId="148231E7" w14:textId="77777777" w:rsidR="00B76003" w:rsidRDefault="00037EE1">
                            <w:pPr>
                              <w:pStyle w:val="Corps"/>
                              <w:jc w:val="center"/>
                            </w:pPr>
                            <w:r>
                              <w:t>Marque</w:t>
                            </w:r>
                          </w:p>
                          <w:p w14:paraId="61C12DFA" w14:textId="77777777" w:rsidR="00B76003" w:rsidRDefault="00037EE1">
                            <w:pPr>
                              <w:pStyle w:val="Corps"/>
                              <w:jc w:val="center"/>
                            </w:pPr>
                            <w:r>
                              <w:t>Concept</w:t>
                            </w:r>
                          </w:p>
                          <w:p w14:paraId="4B0DBF77" w14:textId="77777777" w:rsidR="00B76003" w:rsidRDefault="00037EE1">
                            <w:pPr>
                              <w:pStyle w:val="Corps"/>
                              <w:jc w:val="center"/>
                            </w:pPr>
                            <w:r>
                              <w:t>Publicité</w:t>
                            </w:r>
                          </w:p>
                          <w:p w14:paraId="6977046E" w14:textId="77777777" w:rsidR="00B76003" w:rsidRDefault="00037EE1">
                            <w:pPr>
                              <w:pStyle w:val="Corps"/>
                              <w:jc w:val="center"/>
                            </w:pPr>
                            <w:r>
                              <w:t>Réputation</w:t>
                            </w:r>
                          </w:p>
                          <w:p w14:paraId="15F1E5C0" w14:textId="77777777" w:rsidR="00B76003" w:rsidRDefault="00037EE1">
                            <w:pPr>
                              <w:pStyle w:val="Corps"/>
                              <w:jc w:val="center"/>
                            </w:pPr>
                            <w:r>
                              <w:t>Assistance technique</w:t>
                            </w:r>
                          </w:p>
                          <w:p w14:paraId="7C07BEE7" w14:textId="77777777" w:rsidR="00B76003" w:rsidRDefault="00037EE1">
                            <w:pPr>
                              <w:pStyle w:val="Corps"/>
                              <w:jc w:val="center"/>
                            </w:pPr>
                            <w:r>
                              <w:t>Exclusivité territoriale</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28" style="visibility:visible;position:absolute;margin-left:33.1pt;margin-top:31.5pt;width:118.0pt;height:125.6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jc w:val="center"/>
                      </w:pPr>
                      <w:r>
                        <w:rPr>
                          <w:rtl w:val="0"/>
                          <w:lang w:val="fr-FR"/>
                        </w:rPr>
                        <w:t>Marque</w:t>
                      </w:r>
                    </w:p>
                    <w:p>
                      <w:pPr>
                        <w:pStyle w:val="Corps"/>
                        <w:jc w:val="center"/>
                      </w:pPr>
                      <w:r>
                        <w:rPr>
                          <w:rtl w:val="0"/>
                          <w:lang w:val="fr-FR"/>
                        </w:rPr>
                        <w:t>Concept</w:t>
                      </w:r>
                    </w:p>
                    <w:p>
                      <w:pPr>
                        <w:pStyle w:val="Corps"/>
                        <w:jc w:val="center"/>
                      </w:pPr>
                      <w:r>
                        <w:rPr>
                          <w:rtl w:val="0"/>
                          <w:lang w:val="fr-FR"/>
                        </w:rPr>
                        <w:t>Publicit</w:t>
                      </w:r>
                      <w:r>
                        <w:rPr>
                          <w:rtl w:val="0"/>
                          <w:lang w:val="fr-FR"/>
                        </w:rPr>
                        <w:t>é</w:t>
                      </w:r>
                    </w:p>
                    <w:p>
                      <w:pPr>
                        <w:pStyle w:val="Corps"/>
                        <w:jc w:val="center"/>
                      </w:pPr>
                      <w:r>
                        <w:rPr>
                          <w:rtl w:val="0"/>
                          <w:lang w:val="fr-FR"/>
                        </w:rPr>
                        <w:t>R</w:t>
                      </w:r>
                      <w:r>
                        <w:rPr>
                          <w:rtl w:val="0"/>
                          <w:lang w:val="fr-FR"/>
                        </w:rPr>
                        <w:t>é</w:t>
                      </w:r>
                      <w:r>
                        <w:rPr>
                          <w:rtl w:val="0"/>
                          <w:lang w:val="fr-FR"/>
                        </w:rPr>
                        <w:t>putation</w:t>
                      </w:r>
                    </w:p>
                    <w:p>
                      <w:pPr>
                        <w:pStyle w:val="Corps"/>
                        <w:jc w:val="center"/>
                      </w:pPr>
                      <w:r>
                        <w:rPr>
                          <w:rtl w:val="0"/>
                          <w:lang w:val="fr-FR"/>
                        </w:rPr>
                        <w:t>Assistance technique</w:t>
                      </w:r>
                    </w:p>
                    <w:p>
                      <w:pPr>
                        <w:pStyle w:val="Corps"/>
                        <w:jc w:val="center"/>
                      </w:pPr>
                      <w:r>
                        <w:rPr>
                          <w:rtl w:val="0"/>
                          <w:lang w:val="fr-FR"/>
                        </w:rPr>
                        <w:t>Exclusivit</w:t>
                      </w:r>
                      <w:r>
                        <w:rPr>
                          <w:rtl w:val="0"/>
                          <w:lang w:val="fr-FR"/>
                        </w:rPr>
                        <w:t xml:space="preserve">é </w:t>
                      </w:r>
                      <w:r>
                        <w:rPr>
                          <w:rtl w:val="0"/>
                          <w:lang w:val="fr-FR"/>
                        </w:rPr>
                        <w:t>territoriale</w:t>
                      </w:r>
                    </w:p>
                  </w:txbxContent>
                </v:textbox>
                <w10:wrap type="through" side="bothSides" anchorx="margin"/>
              </v:rect>
            </w:pict>
          </mc:Fallback>
        </mc:AlternateContent>
      </w:r>
      <w:r>
        <w:rPr>
          <w:noProof/>
        </w:rPr>
        <mc:AlternateContent>
          <mc:Choice Requires="wps">
            <w:drawing>
              <wp:anchor distT="152400" distB="152400" distL="152400" distR="152400" simplePos="0" relativeHeight="251661312" behindDoc="0" locked="0" layoutInCell="1" allowOverlap="1" wp14:anchorId="3AC23CEB" wp14:editId="48A7C3CF">
                <wp:simplePos x="0" y="0"/>
                <wp:positionH relativeFrom="margin">
                  <wp:posOffset>432921</wp:posOffset>
                </wp:positionH>
                <wp:positionV relativeFrom="line">
                  <wp:posOffset>406489</wp:posOffset>
                </wp:positionV>
                <wp:extent cx="1486218" cy="1445955"/>
                <wp:effectExtent l="0" t="0" r="0" b="0"/>
                <wp:wrapThrough wrapText="bothSides" distL="152400" distR="152400">
                  <wp:wrapPolygon edited="1">
                    <wp:start x="-92" y="-95"/>
                    <wp:lineTo x="-92" y="0"/>
                    <wp:lineTo x="-92" y="21598"/>
                    <wp:lineTo x="-92" y="21693"/>
                    <wp:lineTo x="0" y="21693"/>
                    <wp:lineTo x="21601" y="21693"/>
                    <wp:lineTo x="21693" y="21693"/>
                    <wp:lineTo x="21693" y="21598"/>
                    <wp:lineTo x="21693" y="0"/>
                    <wp:lineTo x="21693" y="-95"/>
                    <wp:lineTo x="21601" y="-95"/>
                    <wp:lineTo x="0" y="-95"/>
                    <wp:lineTo x="-92" y="-95"/>
                  </wp:wrapPolygon>
                </wp:wrapThrough>
                <wp:docPr id="1073741828" name="officeArt object"/>
                <wp:cNvGraphicFramePr/>
                <a:graphic xmlns:a="http://schemas.openxmlformats.org/drawingml/2006/main">
                  <a:graphicData uri="http://schemas.microsoft.com/office/word/2010/wordprocessingShape">
                    <wps:wsp>
                      <wps:cNvSpPr/>
                      <wps:spPr>
                        <a:xfrm>
                          <a:off x="0" y="0"/>
                          <a:ext cx="1486218" cy="1445955"/>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29" style="visibility:visible;position:absolute;margin-left:34.1pt;margin-top:32.0pt;width:117.0pt;height:113.9pt;z-index:251661312;mso-position-horizontal:absolute;mso-position-horizontal-relative:margin;mso-position-vertical:absolute;mso-position-vertical-relative:lin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margin"/>
              </v:rect>
            </w:pict>
          </mc:Fallback>
        </mc:AlternateContent>
      </w:r>
    </w:p>
    <w:p w14:paraId="3FED35C1" w14:textId="77777777" w:rsidR="00B76003" w:rsidRDefault="00B76003">
      <w:pPr>
        <w:pStyle w:val="Corps"/>
      </w:pPr>
    </w:p>
    <w:p w14:paraId="0A340ED3" w14:textId="77777777" w:rsidR="00B76003" w:rsidRDefault="00B76003">
      <w:pPr>
        <w:pStyle w:val="Corps"/>
      </w:pPr>
    </w:p>
    <w:p w14:paraId="0A2962BD" w14:textId="77777777" w:rsidR="00B76003" w:rsidRDefault="00B76003">
      <w:pPr>
        <w:pStyle w:val="Corps"/>
      </w:pPr>
    </w:p>
    <w:p w14:paraId="70BD94F8" w14:textId="77777777" w:rsidR="00B76003" w:rsidRDefault="00B76003">
      <w:pPr>
        <w:pStyle w:val="Corps"/>
      </w:pPr>
    </w:p>
    <w:p w14:paraId="3408E3A8" w14:textId="77777777" w:rsidR="00B76003" w:rsidRDefault="00B76003">
      <w:pPr>
        <w:pStyle w:val="Corps"/>
      </w:pPr>
    </w:p>
    <w:p w14:paraId="54127DB8" w14:textId="77777777" w:rsidR="00B76003" w:rsidRDefault="00B76003">
      <w:pPr>
        <w:pStyle w:val="Corps"/>
      </w:pPr>
    </w:p>
    <w:p w14:paraId="646DE5F1" w14:textId="77777777" w:rsidR="00B76003" w:rsidRDefault="00B76003">
      <w:pPr>
        <w:pStyle w:val="Corps"/>
      </w:pPr>
    </w:p>
    <w:p w14:paraId="671B302E" w14:textId="77777777" w:rsidR="00B76003" w:rsidRDefault="00B76003">
      <w:pPr>
        <w:pStyle w:val="Corps"/>
      </w:pPr>
    </w:p>
    <w:p w14:paraId="1914488E" w14:textId="77777777" w:rsidR="00B76003" w:rsidRDefault="00B76003">
      <w:pPr>
        <w:pStyle w:val="Corps"/>
      </w:pPr>
    </w:p>
    <w:p w14:paraId="3A301C05" w14:textId="77777777" w:rsidR="00B76003" w:rsidRDefault="00B76003">
      <w:pPr>
        <w:pStyle w:val="Corps"/>
      </w:pPr>
    </w:p>
    <w:p w14:paraId="62AFBAA4" w14:textId="77777777" w:rsidR="00B76003" w:rsidRDefault="00037EE1">
      <w:pPr>
        <w:pStyle w:val="Sous-sectionrouge"/>
        <w:numPr>
          <w:ilvl w:val="1"/>
          <w:numId w:val="7"/>
        </w:numPr>
      </w:pPr>
      <w:r>
        <w:rPr>
          <w:rFonts w:eastAsia="Arial Unicode MS" w:cs="Arial Unicode MS"/>
        </w:rPr>
        <w:t>Le commerce intégré</w:t>
      </w:r>
    </w:p>
    <w:p w14:paraId="0A9802B8" w14:textId="77777777" w:rsidR="00B76003" w:rsidRDefault="00037EE1">
      <w:pPr>
        <w:pStyle w:val="Corps"/>
      </w:pPr>
      <w:r>
        <w:t>Les points de vente appartiennent à un entreprise, les directeurs des points de vente sont des salariés de l’entreprises.</w:t>
      </w:r>
    </w:p>
    <w:p w14:paraId="04ACF7DB" w14:textId="77777777" w:rsidR="00B76003" w:rsidRDefault="00B76003">
      <w:pPr>
        <w:pStyle w:val="Corps"/>
      </w:pPr>
    </w:p>
    <w:p w14:paraId="7AAD4A12" w14:textId="77777777" w:rsidR="00B76003" w:rsidRDefault="00037EE1">
      <w:pPr>
        <w:pStyle w:val="Corps"/>
      </w:pPr>
      <w:r>
        <w:t xml:space="preserve">Fonction de grossiste </w:t>
      </w:r>
      <w:r>
        <w:tab/>
      </w:r>
      <w:r>
        <w:tab/>
      </w:r>
      <w:r>
        <w:tab/>
        <w:t>Intégrées dans la même entreprise</w:t>
      </w:r>
    </w:p>
    <w:p w14:paraId="64FF999C" w14:textId="77777777" w:rsidR="00B76003" w:rsidRDefault="00037EE1">
      <w:pPr>
        <w:pStyle w:val="Corps"/>
      </w:pPr>
      <w:r>
        <w:t>Fonction de détails</w:t>
      </w:r>
    </w:p>
    <w:p w14:paraId="3CB4E64A" w14:textId="77777777" w:rsidR="00B76003" w:rsidRDefault="00B76003">
      <w:pPr>
        <w:pStyle w:val="Corps"/>
      </w:pPr>
    </w:p>
    <w:p w14:paraId="02F37EF3" w14:textId="77777777" w:rsidR="00B76003" w:rsidRDefault="00037EE1">
      <w:pPr>
        <w:pStyle w:val="Corps"/>
      </w:pPr>
      <w:r>
        <w:t xml:space="preserve">L’actionnariat peut être familiales et non </w:t>
      </w:r>
      <w:proofErr w:type="spellStart"/>
      <w:r>
        <w:t>côtés</w:t>
      </w:r>
      <w:proofErr w:type="spellEnd"/>
      <w:r>
        <w:t xml:space="preserve"> en bourse (Auchan, Décathlon).</w:t>
      </w:r>
    </w:p>
    <w:p w14:paraId="5259F07D" w14:textId="77777777" w:rsidR="00B76003" w:rsidRDefault="00037EE1">
      <w:pPr>
        <w:pStyle w:val="Corps"/>
      </w:pPr>
      <w:r>
        <w:t xml:space="preserve">Les grands magasins comme Galeries Lafayette), les magasins populaires (monoprix), certains supermarchés et hypermarchés. </w:t>
      </w:r>
    </w:p>
    <w:p w14:paraId="5F6BDECD" w14:textId="77777777" w:rsidR="00B76003" w:rsidRDefault="00B76003">
      <w:pPr>
        <w:pStyle w:val="Corps"/>
      </w:pPr>
    </w:p>
    <w:p w14:paraId="484F44D3" w14:textId="77777777" w:rsidR="00B76003" w:rsidRDefault="00037EE1">
      <w:pPr>
        <w:pStyle w:val="Ss-section3"/>
        <w:numPr>
          <w:ilvl w:val="0"/>
          <w:numId w:val="8"/>
        </w:numPr>
      </w:pPr>
      <w:r>
        <w:lastRenderedPageBreak/>
        <w:t>LA TYPOLOGIE PAR FORMAT DE DISTRIBUTION</w:t>
      </w:r>
    </w:p>
    <w:p w14:paraId="24103124" w14:textId="77777777" w:rsidR="00B76003" w:rsidRDefault="00037EE1">
      <w:pPr>
        <w:pStyle w:val="Corps"/>
      </w:pPr>
      <w:r>
        <w:tab/>
        <w:t>Un format désigne une catégorie de points de vente ayant des caractéristiques physique communes mesurables.</w:t>
      </w:r>
    </w:p>
    <w:p w14:paraId="1C39E76E" w14:textId="77777777" w:rsidR="00B76003" w:rsidRDefault="00037EE1">
      <w:pPr>
        <w:pStyle w:val="Corps"/>
      </w:pPr>
      <w:r>
        <w:t xml:space="preserve">Magasins de </w:t>
      </w:r>
      <w:proofErr w:type="spellStart"/>
      <w:r>
        <w:t>destockage</w:t>
      </w:r>
      <w:proofErr w:type="spellEnd"/>
      <w:r>
        <w:t xml:space="preserve">, hypermarchés, supermarchés, proximités, hard discount, </w:t>
      </w:r>
      <w:proofErr w:type="spellStart"/>
      <w:r>
        <w:t>druve</w:t>
      </w:r>
      <w:proofErr w:type="spellEnd"/>
      <w:r>
        <w:t>, concept store (magasin dont l’activité est fondé sur une idée), les magasins d’usine.</w:t>
      </w:r>
    </w:p>
    <w:p w14:paraId="74702706" w14:textId="77777777" w:rsidR="00B76003" w:rsidRDefault="00B76003">
      <w:pPr>
        <w:pStyle w:val="Corps"/>
      </w:pPr>
    </w:p>
    <w:p w14:paraId="0D95F6A3" w14:textId="77777777" w:rsidR="00B76003" w:rsidRDefault="00037EE1">
      <w:pPr>
        <w:pStyle w:val="Ss-section3"/>
        <w:numPr>
          <w:ilvl w:val="0"/>
          <w:numId w:val="4"/>
        </w:numPr>
      </w:pPr>
      <w:r>
        <w:t xml:space="preserve">LA TYPOLOGIE SELON LES METHODES DE VENTE </w:t>
      </w:r>
    </w:p>
    <w:p w14:paraId="4D237C98" w14:textId="77777777" w:rsidR="00B76003" w:rsidRDefault="00037EE1">
      <w:pPr>
        <w:pStyle w:val="Corps"/>
      </w:pPr>
      <w:r>
        <w:tab/>
        <w:t>Vente en magasin, vente à distance, vente à domicile, vente automatique, vente sur les marchés.</w:t>
      </w:r>
    </w:p>
    <w:p w14:paraId="656FA197" w14:textId="77777777" w:rsidR="00B76003" w:rsidRDefault="00037EE1">
      <w:pPr>
        <w:pStyle w:val="Corps"/>
      </w:pPr>
      <w:r>
        <w:t>Les ruches ou AMAP : groupement de producteurs locaux qui répondent à des achats sur internet</w:t>
      </w:r>
    </w:p>
    <w:p w14:paraId="06971DE9" w14:textId="77777777" w:rsidR="00B76003" w:rsidRDefault="00B76003">
      <w:pPr>
        <w:pStyle w:val="Corps"/>
      </w:pPr>
    </w:p>
    <w:p w14:paraId="6E633761" w14:textId="77777777" w:rsidR="00B76003" w:rsidRDefault="00B76003">
      <w:pPr>
        <w:pStyle w:val="Corps"/>
      </w:pPr>
    </w:p>
    <w:p w14:paraId="6F5065DE" w14:textId="77777777" w:rsidR="00B76003" w:rsidRDefault="00B76003">
      <w:pPr>
        <w:pStyle w:val="Corps"/>
      </w:pPr>
    </w:p>
    <w:p w14:paraId="7A60E98F" w14:textId="77777777" w:rsidR="00B76003" w:rsidRDefault="00037EE1">
      <w:pPr>
        <w:pStyle w:val="Sous-section2"/>
        <w:numPr>
          <w:ilvl w:val="0"/>
          <w:numId w:val="9"/>
        </w:numPr>
      </w:pPr>
      <w:r>
        <w:t>LE MARKETING DES DISTRIBUTEURS</w:t>
      </w:r>
    </w:p>
    <w:p w14:paraId="72ED1326" w14:textId="77777777" w:rsidR="00B76003" w:rsidRDefault="00037EE1">
      <w:pPr>
        <w:pStyle w:val="Corps"/>
      </w:pPr>
      <w:r>
        <w:tab/>
      </w:r>
      <w:r>
        <w:rPr>
          <w:color w:val="FF2C21"/>
        </w:rPr>
        <w:t xml:space="preserve">Le marketing d’entrée </w:t>
      </w:r>
      <w:r>
        <w:t xml:space="preserve">: faire venir le client sur le point de vente ou sur le site </w:t>
      </w:r>
    </w:p>
    <w:p w14:paraId="0C0490EB" w14:textId="77777777" w:rsidR="00B76003" w:rsidRDefault="00037EE1">
      <w:pPr>
        <w:pStyle w:val="Corps"/>
      </w:pPr>
      <w:r>
        <w:tab/>
      </w:r>
      <w:r>
        <w:rPr>
          <w:color w:val="FF2C21"/>
        </w:rPr>
        <w:t xml:space="preserve">Le marketing de transformation </w:t>
      </w:r>
      <w:r>
        <w:t xml:space="preserve">: maximiser les achats </w:t>
      </w:r>
    </w:p>
    <w:p w14:paraId="26384171" w14:textId="77777777" w:rsidR="00B76003" w:rsidRDefault="00037EE1">
      <w:pPr>
        <w:pStyle w:val="Corps"/>
      </w:pPr>
      <w:r>
        <w:tab/>
      </w:r>
      <w:r>
        <w:rPr>
          <w:color w:val="FF2C21"/>
        </w:rPr>
        <w:t xml:space="preserve">Le marketing de fidélisation </w:t>
      </w:r>
      <w:r>
        <w:t xml:space="preserve">: faire revenir le client </w:t>
      </w:r>
    </w:p>
    <w:p w14:paraId="57335D1F" w14:textId="77777777" w:rsidR="00B76003" w:rsidRDefault="00037EE1">
      <w:pPr>
        <w:pStyle w:val="Corps"/>
      </w:pPr>
      <w:r>
        <w:t xml:space="preserve">Il faut définir : </w:t>
      </w:r>
    </w:p>
    <w:p w14:paraId="68885CA1" w14:textId="77777777" w:rsidR="00B76003" w:rsidRDefault="00037EE1">
      <w:pPr>
        <w:pStyle w:val="Corps"/>
      </w:pPr>
      <w:r>
        <w:rPr>
          <w:rFonts w:ascii="Arial Unicode MS" w:hAnsi="Arial Unicode MS"/>
        </w:rPr>
        <w:t>➝</w:t>
      </w:r>
      <w:r>
        <w:t xml:space="preserve"> </w:t>
      </w:r>
      <w:r>
        <w:rPr>
          <w:color w:val="81A6C7"/>
        </w:rPr>
        <w:t xml:space="preserve">sa cible </w:t>
      </w:r>
      <w:r>
        <w:t>: c’est le choix d’implantation. Ce choix n’est pas simple, il faut prendre en compte les coûts</w:t>
      </w:r>
    </w:p>
    <w:p w14:paraId="52567BAE" w14:textId="77777777" w:rsidR="00B76003" w:rsidRDefault="00037EE1">
      <w:pPr>
        <w:pStyle w:val="Corps"/>
      </w:pPr>
      <w:r>
        <w:rPr>
          <w:rFonts w:ascii="Arial Unicode MS" w:hAnsi="Arial Unicode MS"/>
        </w:rPr>
        <w:t>➝</w:t>
      </w:r>
      <w:r>
        <w:rPr>
          <w:color w:val="81A6C7"/>
        </w:rPr>
        <w:t xml:space="preserve"> les canaux </w:t>
      </w:r>
      <w:r>
        <w:t xml:space="preserve">: réseaux physique, drive, vente en ligne </w:t>
      </w:r>
    </w:p>
    <w:p w14:paraId="5AD3B154" w14:textId="77777777" w:rsidR="00B76003" w:rsidRDefault="00037EE1">
      <w:pPr>
        <w:pStyle w:val="Corps"/>
      </w:pPr>
      <w:r>
        <w:rPr>
          <w:rFonts w:ascii="Arial Unicode MS" w:hAnsi="Arial Unicode MS"/>
        </w:rPr>
        <w:t>➝</w:t>
      </w:r>
      <w:r>
        <w:t xml:space="preserve"> </w:t>
      </w:r>
      <w:r>
        <w:rPr>
          <w:color w:val="81A6C7"/>
        </w:rPr>
        <w:t>l’assortiment</w:t>
      </w:r>
      <w:r>
        <w:t xml:space="preserve"> : influencé par le positionnement de l’enseigne</w:t>
      </w:r>
    </w:p>
    <w:p w14:paraId="0646CBAB" w14:textId="77777777" w:rsidR="00B76003" w:rsidRDefault="00037EE1">
      <w:pPr>
        <w:pStyle w:val="Corps"/>
      </w:pPr>
      <w:r>
        <w:rPr>
          <w:rFonts w:ascii="Arial Unicode MS" w:hAnsi="Arial Unicode MS"/>
        </w:rPr>
        <w:t>➝</w:t>
      </w:r>
      <w:r>
        <w:t xml:space="preserve"> </w:t>
      </w:r>
      <w:r>
        <w:rPr>
          <w:color w:val="81A6C7"/>
        </w:rPr>
        <w:t>l’approvisionnement</w:t>
      </w:r>
      <w:r>
        <w:t xml:space="preserve"> : éviter les ruptures</w:t>
      </w:r>
    </w:p>
    <w:p w14:paraId="65002507" w14:textId="77777777" w:rsidR="00B76003" w:rsidRDefault="00037EE1">
      <w:pPr>
        <w:pStyle w:val="Corps"/>
      </w:pPr>
      <w:r>
        <w:rPr>
          <w:rFonts w:ascii="Arial Unicode MS" w:hAnsi="Arial Unicode MS"/>
        </w:rPr>
        <w:t>➝</w:t>
      </w:r>
      <w:r>
        <w:rPr>
          <w:color w:val="81A6C7"/>
        </w:rPr>
        <w:t xml:space="preserve"> le prix </w:t>
      </w:r>
      <w:r>
        <w:t>: cette politique est stratégique : avec les prix d’appel, les promotions, les prix bas tous les jours</w:t>
      </w:r>
    </w:p>
    <w:p w14:paraId="51996970" w14:textId="77777777" w:rsidR="00B76003" w:rsidRDefault="00037EE1">
      <w:pPr>
        <w:pStyle w:val="Corps"/>
      </w:pPr>
      <w:r>
        <w:rPr>
          <w:rFonts w:ascii="Arial Unicode MS" w:hAnsi="Arial Unicode MS"/>
        </w:rPr>
        <w:t>➝</w:t>
      </w:r>
      <w:r>
        <w:t xml:space="preserve"> </w:t>
      </w:r>
      <w:r>
        <w:rPr>
          <w:color w:val="81A6C7"/>
        </w:rPr>
        <w:t>les services</w:t>
      </w:r>
      <w:r>
        <w:t xml:space="preserve"> : les services antérieures à l’achat (vitrines, horaires d’ouverture), les services postérieurs à l’achat </w:t>
      </w:r>
      <w:proofErr w:type="gramStart"/>
      <w:r>
        <w:t>( livraison</w:t>
      </w:r>
      <w:proofErr w:type="gramEnd"/>
      <w:r>
        <w:t>, retours, le SAV, l’installation des produits, …) les services annexes (modes de paiement, parking, restaurant, crèche)</w:t>
      </w:r>
    </w:p>
    <w:p w14:paraId="056EDD1C" w14:textId="77777777" w:rsidR="00B76003" w:rsidRDefault="00037EE1">
      <w:pPr>
        <w:pStyle w:val="Corps"/>
        <w:rPr>
          <w:color w:val="81A6C7"/>
        </w:rPr>
      </w:pPr>
      <w:r>
        <w:rPr>
          <w:rFonts w:ascii="Arial Unicode MS" w:hAnsi="Arial Unicode MS"/>
        </w:rPr>
        <w:t>➝</w:t>
      </w:r>
      <w:r>
        <w:rPr>
          <w:color w:val="81A6C7"/>
        </w:rPr>
        <w:t xml:space="preserve"> l’ambiance et l’expérience</w:t>
      </w:r>
    </w:p>
    <w:p w14:paraId="09253279" w14:textId="77777777" w:rsidR="00B76003" w:rsidRDefault="00037EE1">
      <w:pPr>
        <w:pStyle w:val="Corps"/>
      </w:pPr>
      <w:r>
        <w:rPr>
          <w:rFonts w:ascii="Arial Unicode MS" w:hAnsi="Arial Unicode MS"/>
        </w:rPr>
        <w:t>➝</w:t>
      </w:r>
      <w:r>
        <w:t xml:space="preserve"> </w:t>
      </w:r>
      <w:r>
        <w:rPr>
          <w:color w:val="81A6C7"/>
        </w:rPr>
        <w:t xml:space="preserve">le merchandising </w:t>
      </w:r>
      <w:r>
        <w:t xml:space="preserve">: en magasin et en ligne </w:t>
      </w:r>
    </w:p>
    <w:p w14:paraId="730E0161" w14:textId="77777777" w:rsidR="00B76003" w:rsidRDefault="00037EE1">
      <w:pPr>
        <w:pStyle w:val="Corps"/>
      </w:pPr>
      <w:r>
        <w:rPr>
          <w:rFonts w:ascii="Arial Unicode MS" w:hAnsi="Arial Unicode MS"/>
        </w:rPr>
        <w:t>➝</w:t>
      </w:r>
      <w:r>
        <w:rPr>
          <w:color w:val="81A6C7"/>
        </w:rPr>
        <w:t xml:space="preserve"> la communication</w:t>
      </w:r>
      <w:r>
        <w:t xml:space="preserve"> : la publicité, la force de vente, la promotion des ventes, les relations publiques, les réseaux sociaux</w:t>
      </w:r>
    </w:p>
    <w:p w14:paraId="7B57D3A1" w14:textId="77777777" w:rsidR="00B76003" w:rsidRDefault="00B76003">
      <w:pPr>
        <w:pStyle w:val="Corps"/>
      </w:pPr>
    </w:p>
    <w:p w14:paraId="735ECF2E" w14:textId="77777777" w:rsidR="00B76003" w:rsidRDefault="00037EE1">
      <w:pPr>
        <w:pStyle w:val="Corps"/>
      </w:pPr>
      <w:r>
        <w:t>LE RETAILING MIX :</w:t>
      </w:r>
    </w:p>
    <w:p w14:paraId="173F161E" w14:textId="77777777" w:rsidR="00B76003" w:rsidRDefault="00037EE1">
      <w:pPr>
        <w:pStyle w:val="Corps"/>
      </w:pPr>
      <w:r>
        <w:lastRenderedPageBreak/>
        <w:t>Assortiment</w:t>
      </w:r>
    </w:p>
    <w:p w14:paraId="6A4040DB" w14:textId="77777777" w:rsidR="00B76003" w:rsidRDefault="00037EE1">
      <w:pPr>
        <w:pStyle w:val="Corps"/>
      </w:pPr>
      <w:r>
        <w:t>Prix</w:t>
      </w:r>
    </w:p>
    <w:p w14:paraId="3E050818" w14:textId="77777777" w:rsidR="00B76003" w:rsidRDefault="00037EE1">
      <w:pPr>
        <w:pStyle w:val="Corps"/>
      </w:pPr>
      <w:r>
        <w:t>Communication</w:t>
      </w:r>
    </w:p>
    <w:p w14:paraId="62146831" w14:textId="77777777" w:rsidR="00B76003" w:rsidRDefault="00037EE1">
      <w:pPr>
        <w:pStyle w:val="Corps"/>
      </w:pPr>
      <w:r>
        <w:t>Localisation (horaires)</w:t>
      </w:r>
    </w:p>
    <w:p w14:paraId="43EE1A15" w14:textId="77777777" w:rsidR="00B76003" w:rsidRDefault="00037EE1">
      <w:pPr>
        <w:pStyle w:val="Corps"/>
      </w:pPr>
      <w:r>
        <w:t>Expérience client</w:t>
      </w:r>
    </w:p>
    <w:p w14:paraId="206B8241" w14:textId="77777777" w:rsidR="00B76003" w:rsidRDefault="00037EE1">
      <w:pPr>
        <w:pStyle w:val="Corps"/>
      </w:pPr>
      <w:r>
        <w:t xml:space="preserve">Personnel </w:t>
      </w:r>
    </w:p>
    <w:sectPr w:rsidR="00B7600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9B2B9" w14:textId="77777777" w:rsidR="00775373" w:rsidRDefault="00775373">
      <w:r>
        <w:separator/>
      </w:r>
    </w:p>
  </w:endnote>
  <w:endnote w:type="continuationSeparator" w:id="0">
    <w:p w14:paraId="7F252AA4" w14:textId="77777777" w:rsidR="00775373" w:rsidRDefault="0077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eworthy Light">
    <w:altName w:val="Malgun Gothic Semilight"/>
    <w:charset w:val="00"/>
    <w:family w:val="auto"/>
    <w:pitch w:val="variable"/>
    <w:sig w:usb0="00000001" w:usb1="08000048" w:usb2="14600000" w:usb3="00000000" w:csb0="00000111" w:csb1="00000000"/>
  </w:font>
  <w:font w:name="Noteworthy Bold">
    <w:altName w:val="Arial Unicode MS"/>
    <w:charset w:val="00"/>
    <w:family w:val="auto"/>
    <w:pitch w:val="variable"/>
    <w:sig w:usb0="00000001" w:usb1="08000048" w:usb2="146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E14F" w14:textId="77777777" w:rsidR="009E3930" w:rsidRDefault="009E39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73DF" w14:textId="77777777" w:rsidR="00B76003" w:rsidRDefault="00037EE1">
    <w:pPr>
      <w:pStyle w:val="En-tte"/>
      <w:tabs>
        <w:tab w:val="clear" w:pos="9020"/>
        <w:tab w:val="center" w:pos="4819"/>
        <w:tab w:val="right" w:pos="9638"/>
      </w:tabs>
    </w:pPr>
    <w:r>
      <w:tab/>
    </w:r>
    <w:r>
      <w:tab/>
      <w:t>Page </w:t>
    </w:r>
    <w:r>
      <w:fldChar w:fldCharType="begin"/>
    </w:r>
    <w:r>
      <w:instrText xml:space="preserve"> PAGE </w:instrText>
    </w:r>
    <w:r>
      <w:fldChar w:fldCharType="separate"/>
    </w:r>
    <w:r w:rsidR="009E393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7DBC6" w14:textId="77777777" w:rsidR="009E3930" w:rsidRDefault="009E39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01C7" w14:textId="77777777" w:rsidR="00775373" w:rsidRDefault="00775373">
      <w:r>
        <w:separator/>
      </w:r>
    </w:p>
  </w:footnote>
  <w:footnote w:type="continuationSeparator" w:id="0">
    <w:p w14:paraId="7789F1CF" w14:textId="77777777" w:rsidR="00775373" w:rsidRDefault="0077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EF51" w14:textId="77777777" w:rsidR="009E3930" w:rsidRDefault="009E39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DF79" w14:textId="798CC2E7" w:rsidR="00B76003" w:rsidRDefault="009E3930">
    <w:bookmarkStart w:id="0" w:name="_GoBack"/>
    <w:r>
      <w:rPr>
        <w:noProof/>
        <w:lang w:val="fr-FR" w:eastAsia="fr-FR"/>
      </w:rPr>
      <w:drawing>
        <wp:anchor distT="0" distB="0" distL="114300" distR="114300" simplePos="0" relativeHeight="251658240" behindDoc="0" locked="0" layoutInCell="1" allowOverlap="1" wp14:anchorId="0DE6321D" wp14:editId="32D5E4F6">
          <wp:simplePos x="0" y="0"/>
          <wp:positionH relativeFrom="column">
            <wp:posOffset>5935345</wp:posOffset>
          </wp:positionH>
          <wp:positionV relativeFrom="paragraph">
            <wp:posOffset>-466725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CE3E0" w14:textId="77777777" w:rsidR="009E3930" w:rsidRDefault="009E39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365A"/>
    <w:multiLevelType w:val="hybridMultilevel"/>
    <w:tmpl w:val="42504A2E"/>
    <w:numStyleLink w:val="Harvard"/>
  </w:abstractNum>
  <w:abstractNum w:abstractNumId="1">
    <w:nsid w:val="22E970F8"/>
    <w:multiLevelType w:val="hybridMultilevel"/>
    <w:tmpl w:val="747A0E0C"/>
    <w:styleLink w:val="Nombres"/>
    <w:lvl w:ilvl="0" w:tplc="4B36E5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240D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6ED65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ACFCD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922DA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96E38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7CA0C8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862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4C1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4727CBD"/>
    <w:multiLevelType w:val="hybridMultilevel"/>
    <w:tmpl w:val="42504A2E"/>
    <w:styleLink w:val="Harvard"/>
    <w:lvl w:ilvl="0" w:tplc="3EC430FC">
      <w:start w:val="1"/>
      <w:numFmt w:val="upperRoman"/>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8828C604">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418CD98">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5C2ED2">
      <w:start w:val="1"/>
      <w:numFmt w:val="low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B14E7A78">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AA00590">
      <w:start w:val="1"/>
      <w:numFmt w:val="low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C1C41D6E">
      <w:start w:val="1"/>
      <w:numFmt w:val="lowerRoman"/>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8168F752">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8692EEBE">
      <w:start w:val="1"/>
      <w:numFmt w:val="low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456457E0"/>
    <w:multiLevelType w:val="hybridMultilevel"/>
    <w:tmpl w:val="DEA85AE0"/>
    <w:styleLink w:val="Lettres"/>
    <w:lvl w:ilvl="0" w:tplc="9E70B6A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9EDA1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7E7F48">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70A74C">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36FAE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9E3E4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4C6186">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8A7A0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EA22D6">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42D0336"/>
    <w:multiLevelType w:val="hybridMultilevel"/>
    <w:tmpl w:val="DEA85AE0"/>
    <w:numStyleLink w:val="Lettres"/>
  </w:abstractNum>
  <w:abstractNum w:abstractNumId="5">
    <w:nsid w:val="6BFC7716"/>
    <w:multiLevelType w:val="hybridMultilevel"/>
    <w:tmpl w:val="747A0E0C"/>
    <w:numStyleLink w:val="Nombres"/>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5"/>
    <w:lvlOverride w:ilvl="0">
      <w:lvl w:ilvl="0" w:tplc="DACA06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4ACC12">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670699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6497F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D4F43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564C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0414A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2A8AE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1CD2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1"/>
      <w:lvl w:ilvl="0" w:tplc="FF7CBCA4">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26D27A">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A2CD8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8624A2">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CEC4B2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18CF26">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D46C0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4410B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203910">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tplc="C578199E">
        <w:start w:val="1"/>
        <w:numFmt w:val="upperRoman"/>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AB07D72">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F6041CA">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B1698A0">
        <w:start w:val="1"/>
        <w:numFmt w:val="low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19AE1F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05C3E3A">
        <w:start w:val="1"/>
        <w:numFmt w:val="low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1DAC50A">
        <w:start w:val="1"/>
        <w:numFmt w:val="lowerRoman"/>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E046388">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896848E">
        <w:start w:val="1"/>
        <w:numFmt w:val="low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03"/>
    <w:rsid w:val="00037EE1"/>
    <w:rsid w:val="00250211"/>
    <w:rsid w:val="00775373"/>
    <w:rsid w:val="009E3930"/>
    <w:rsid w:val="00B76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4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Noteworthy Light" w:hAnsi="Noteworthy Light" w:cs="Arial Unicode MS"/>
      <w:color w:val="000000"/>
    </w:rPr>
  </w:style>
  <w:style w:type="paragraph" w:styleId="Sous-titre">
    <w:name w:val="Subtitle"/>
    <w:next w:val="Corps"/>
    <w:pPr>
      <w:keepNext/>
      <w:jc w:val="center"/>
    </w:pPr>
    <w:rPr>
      <w:rFonts w:ascii="Noteworthy Light" w:hAnsi="Noteworthy Light" w:cs="Arial Unicode MS"/>
      <w:color w:val="000000"/>
      <w:sz w:val="40"/>
      <w:szCs w:val="40"/>
    </w:rPr>
  </w:style>
  <w:style w:type="paragraph" w:customStyle="1" w:styleId="Corps">
    <w:name w:val="Corps"/>
    <w:pPr>
      <w:jc w:val="both"/>
    </w:pPr>
    <w:rPr>
      <w:rFonts w:ascii="Noteworthy Light" w:hAnsi="Noteworthy Light" w:cs="Arial Unicode MS"/>
      <w:color w:val="000000"/>
      <w:sz w:val="22"/>
      <w:szCs w:val="22"/>
    </w:rPr>
  </w:style>
  <w:style w:type="paragraph" w:customStyle="1" w:styleId="Sous-section2">
    <w:name w:val="Sous-section 2"/>
    <w:next w:val="Corps"/>
    <w:pPr>
      <w:keepNext/>
      <w:outlineLvl w:val="1"/>
    </w:pPr>
    <w:rPr>
      <w:rFonts w:ascii="Noteworthy Bold" w:hAnsi="Noteworthy Bold" w:cs="Arial Unicode MS"/>
      <w:color w:val="005392"/>
      <w:sz w:val="26"/>
      <w:szCs w:val="26"/>
    </w:rPr>
  </w:style>
  <w:style w:type="numbering" w:customStyle="1" w:styleId="Harvard">
    <w:name w:val="Harvard"/>
    <w:pPr>
      <w:numPr>
        <w:numId w:val="1"/>
      </w:numPr>
    </w:pPr>
  </w:style>
  <w:style w:type="paragraph" w:customStyle="1" w:styleId="Styledetableau2">
    <w:name w:val="Style de tableau 2"/>
    <w:pPr>
      <w:jc w:val="center"/>
    </w:pPr>
    <w:rPr>
      <w:rFonts w:ascii="Noteworthy Light" w:eastAsia="Noteworthy Light" w:hAnsi="Noteworthy Light" w:cs="Noteworthy Light"/>
      <w:color w:val="000000"/>
    </w:rPr>
  </w:style>
  <w:style w:type="paragraph" w:customStyle="1" w:styleId="Ss-section3">
    <w:name w:val="Ss-section 3"/>
    <w:next w:val="Corps"/>
    <w:pPr>
      <w:keepNext/>
      <w:pBdr>
        <w:top w:val="single" w:sz="4" w:space="0" w:color="515151"/>
      </w:pBdr>
      <w:spacing w:before="360" w:after="40" w:line="288" w:lineRule="auto"/>
      <w:outlineLvl w:val="2"/>
    </w:pPr>
    <w:rPr>
      <w:rFonts w:ascii="Noteworthy Light" w:hAnsi="Noteworthy Light" w:cs="Arial Unicode MS"/>
      <w:color w:val="3DA9D5"/>
      <w:spacing w:val="4"/>
      <w:sz w:val="22"/>
      <w:szCs w:val="22"/>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Noteworthy Light" w:eastAsia="Noteworthy Light" w:hAnsi="Noteworthy Light" w:cs="Noteworthy Light"/>
      <w:color w:val="FF2C21"/>
      <w:sz w:val="22"/>
      <w:szCs w:val="22"/>
    </w:rPr>
  </w:style>
  <w:style w:type="numbering" w:customStyle="1" w:styleId="Nombres">
    <w:name w:val="Nombres"/>
    <w:pPr>
      <w:numPr>
        <w:numId w:val="5"/>
      </w:numPr>
    </w:pPr>
  </w:style>
  <w:style w:type="paragraph" w:styleId="Pieddepage">
    <w:name w:val="footer"/>
    <w:basedOn w:val="Normal"/>
    <w:link w:val="PieddepageCar"/>
    <w:uiPriority w:val="99"/>
    <w:unhideWhenUsed/>
    <w:rsid w:val="00250211"/>
    <w:pPr>
      <w:tabs>
        <w:tab w:val="center" w:pos="4536"/>
        <w:tab w:val="right" w:pos="9072"/>
      </w:tabs>
    </w:pPr>
  </w:style>
  <w:style w:type="character" w:customStyle="1" w:styleId="PieddepageCar">
    <w:name w:val="Pied de page Car"/>
    <w:basedOn w:val="Policepardfaut"/>
    <w:link w:val="Pieddepage"/>
    <w:uiPriority w:val="99"/>
    <w:rsid w:val="00250211"/>
    <w:rPr>
      <w:sz w:val="24"/>
      <w:szCs w:val="24"/>
      <w:lang w:val="en-US" w:eastAsia="en-US"/>
    </w:rPr>
  </w:style>
  <w:style w:type="paragraph" w:styleId="Textedebulles">
    <w:name w:val="Balloon Text"/>
    <w:basedOn w:val="Normal"/>
    <w:link w:val="TextedebullesCar"/>
    <w:uiPriority w:val="99"/>
    <w:semiHidden/>
    <w:unhideWhenUsed/>
    <w:rsid w:val="009E3930"/>
    <w:rPr>
      <w:rFonts w:ascii="Tahoma" w:hAnsi="Tahoma" w:cs="Tahoma"/>
      <w:sz w:val="16"/>
      <w:szCs w:val="16"/>
    </w:rPr>
  </w:style>
  <w:style w:type="character" w:customStyle="1" w:styleId="TextedebullesCar">
    <w:name w:val="Texte de bulles Car"/>
    <w:basedOn w:val="Policepardfaut"/>
    <w:link w:val="Textedebulles"/>
    <w:uiPriority w:val="99"/>
    <w:semiHidden/>
    <w:rsid w:val="009E39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Noteworthy Light" w:hAnsi="Noteworthy Light" w:cs="Arial Unicode MS"/>
      <w:color w:val="000000"/>
    </w:rPr>
  </w:style>
  <w:style w:type="paragraph" w:styleId="Sous-titre">
    <w:name w:val="Subtitle"/>
    <w:next w:val="Corps"/>
    <w:pPr>
      <w:keepNext/>
      <w:jc w:val="center"/>
    </w:pPr>
    <w:rPr>
      <w:rFonts w:ascii="Noteworthy Light" w:hAnsi="Noteworthy Light" w:cs="Arial Unicode MS"/>
      <w:color w:val="000000"/>
      <w:sz w:val="40"/>
      <w:szCs w:val="40"/>
    </w:rPr>
  </w:style>
  <w:style w:type="paragraph" w:customStyle="1" w:styleId="Corps">
    <w:name w:val="Corps"/>
    <w:pPr>
      <w:jc w:val="both"/>
    </w:pPr>
    <w:rPr>
      <w:rFonts w:ascii="Noteworthy Light" w:hAnsi="Noteworthy Light" w:cs="Arial Unicode MS"/>
      <w:color w:val="000000"/>
      <w:sz w:val="22"/>
      <w:szCs w:val="22"/>
    </w:rPr>
  </w:style>
  <w:style w:type="paragraph" w:customStyle="1" w:styleId="Sous-section2">
    <w:name w:val="Sous-section 2"/>
    <w:next w:val="Corps"/>
    <w:pPr>
      <w:keepNext/>
      <w:outlineLvl w:val="1"/>
    </w:pPr>
    <w:rPr>
      <w:rFonts w:ascii="Noteworthy Bold" w:hAnsi="Noteworthy Bold" w:cs="Arial Unicode MS"/>
      <w:color w:val="005392"/>
      <w:sz w:val="26"/>
      <w:szCs w:val="26"/>
    </w:rPr>
  </w:style>
  <w:style w:type="numbering" w:customStyle="1" w:styleId="Harvard">
    <w:name w:val="Harvard"/>
    <w:pPr>
      <w:numPr>
        <w:numId w:val="1"/>
      </w:numPr>
    </w:pPr>
  </w:style>
  <w:style w:type="paragraph" w:customStyle="1" w:styleId="Styledetableau2">
    <w:name w:val="Style de tableau 2"/>
    <w:pPr>
      <w:jc w:val="center"/>
    </w:pPr>
    <w:rPr>
      <w:rFonts w:ascii="Noteworthy Light" w:eastAsia="Noteworthy Light" w:hAnsi="Noteworthy Light" w:cs="Noteworthy Light"/>
      <w:color w:val="000000"/>
    </w:rPr>
  </w:style>
  <w:style w:type="paragraph" w:customStyle="1" w:styleId="Ss-section3">
    <w:name w:val="Ss-section 3"/>
    <w:next w:val="Corps"/>
    <w:pPr>
      <w:keepNext/>
      <w:pBdr>
        <w:top w:val="single" w:sz="4" w:space="0" w:color="515151"/>
      </w:pBdr>
      <w:spacing w:before="360" w:after="40" w:line="288" w:lineRule="auto"/>
      <w:outlineLvl w:val="2"/>
    </w:pPr>
    <w:rPr>
      <w:rFonts w:ascii="Noteworthy Light" w:hAnsi="Noteworthy Light" w:cs="Arial Unicode MS"/>
      <w:color w:val="3DA9D5"/>
      <w:spacing w:val="4"/>
      <w:sz w:val="22"/>
      <w:szCs w:val="22"/>
    </w:rPr>
  </w:style>
  <w:style w:type="numbering" w:customStyle="1" w:styleId="Lettres">
    <w:name w:val="Lettres"/>
    <w:pPr>
      <w:numPr>
        <w:numId w:val="3"/>
      </w:numPr>
    </w:pPr>
  </w:style>
  <w:style w:type="paragraph" w:customStyle="1" w:styleId="Sous-sectionrouge">
    <w:name w:val="Sous-section rouge"/>
    <w:next w:val="Corps"/>
    <w:pPr>
      <w:keepNext/>
      <w:outlineLvl w:val="1"/>
    </w:pPr>
    <w:rPr>
      <w:rFonts w:ascii="Noteworthy Light" w:eastAsia="Noteworthy Light" w:hAnsi="Noteworthy Light" w:cs="Noteworthy Light"/>
      <w:color w:val="FF2C21"/>
      <w:sz w:val="22"/>
      <w:szCs w:val="22"/>
    </w:rPr>
  </w:style>
  <w:style w:type="numbering" w:customStyle="1" w:styleId="Nombres">
    <w:name w:val="Nombres"/>
    <w:pPr>
      <w:numPr>
        <w:numId w:val="5"/>
      </w:numPr>
    </w:pPr>
  </w:style>
  <w:style w:type="paragraph" w:styleId="Pieddepage">
    <w:name w:val="footer"/>
    <w:basedOn w:val="Normal"/>
    <w:link w:val="PieddepageCar"/>
    <w:uiPriority w:val="99"/>
    <w:unhideWhenUsed/>
    <w:rsid w:val="00250211"/>
    <w:pPr>
      <w:tabs>
        <w:tab w:val="center" w:pos="4536"/>
        <w:tab w:val="right" w:pos="9072"/>
      </w:tabs>
    </w:pPr>
  </w:style>
  <w:style w:type="character" w:customStyle="1" w:styleId="PieddepageCar">
    <w:name w:val="Pied de page Car"/>
    <w:basedOn w:val="Policepardfaut"/>
    <w:link w:val="Pieddepage"/>
    <w:uiPriority w:val="99"/>
    <w:rsid w:val="00250211"/>
    <w:rPr>
      <w:sz w:val="24"/>
      <w:szCs w:val="24"/>
      <w:lang w:val="en-US" w:eastAsia="en-US"/>
    </w:rPr>
  </w:style>
  <w:style w:type="paragraph" w:styleId="Textedebulles">
    <w:name w:val="Balloon Text"/>
    <w:basedOn w:val="Normal"/>
    <w:link w:val="TextedebullesCar"/>
    <w:uiPriority w:val="99"/>
    <w:semiHidden/>
    <w:unhideWhenUsed/>
    <w:rsid w:val="009E3930"/>
    <w:rPr>
      <w:rFonts w:ascii="Tahoma" w:hAnsi="Tahoma" w:cs="Tahoma"/>
      <w:sz w:val="16"/>
      <w:szCs w:val="16"/>
    </w:rPr>
  </w:style>
  <w:style w:type="character" w:customStyle="1" w:styleId="TextedebullesCar">
    <w:name w:val="Texte de bulles Car"/>
    <w:basedOn w:val="Policepardfaut"/>
    <w:link w:val="Textedebulles"/>
    <w:uiPriority w:val="99"/>
    <w:semiHidden/>
    <w:rsid w:val="009E39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Noteworthy Light"/>
        <a:ea typeface="Noteworthy Light"/>
        <a:cs typeface="Noteworthy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Noteworthy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3492</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2017-03-11T11:19:00Z</dcterms:created>
  <dcterms:modified xsi:type="dcterms:W3CDTF">2018-02-26T17:53:00Z</dcterms:modified>
</cp:coreProperties>
</file>