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ED67A7" w:rsidTr="0034143B">
        <w:trPr>
          <w:trHeight w:val="560"/>
        </w:trPr>
        <w:tc>
          <w:tcPr>
            <w:tcW w:w="100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D67A7" w:rsidRPr="0052380A" w:rsidRDefault="00ED67A7" w:rsidP="0034143B">
            <w:pPr>
              <w:tabs>
                <w:tab w:val="left" w:pos="6433"/>
              </w:tabs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LA TAXE SUR LA VALEUR AJOUTEE</w:t>
            </w:r>
          </w:p>
        </w:tc>
      </w:tr>
    </w:tbl>
    <w:p w:rsidR="00052C34" w:rsidRDefault="00052C34" w:rsidP="00ED67A7"/>
    <w:p w:rsidR="00ED67A7" w:rsidRDefault="00ED67A7" w:rsidP="00ED67A7">
      <w:r>
        <w:br/>
        <w:t xml:space="preserve">     Recettes fiscales de l’Etat = plus de 90% de l’ensemble de ses recette ; elles permettent à l’Etat de mettre en œuvre ses différentes politiques publiques (2</w:t>
      </w:r>
      <w:bookmarkStart w:id="0" w:name="_GoBack"/>
      <w:bookmarkEnd w:id="0"/>
      <w:r>
        <w:t>98,6 milliards d’euros dans la loi de finances pour 2013).</w:t>
      </w:r>
      <w:r>
        <w:br/>
        <w:t xml:space="preserve">Il existe deux types de recettes fiscales : </w:t>
      </w:r>
    </w:p>
    <w:p w:rsidR="00ED67A7" w:rsidRDefault="00ED67A7" w:rsidP="00ED67A7">
      <w:pPr>
        <w:pStyle w:val="Paragraphedeliste"/>
        <w:numPr>
          <w:ilvl w:val="0"/>
          <w:numId w:val="4"/>
        </w:numPr>
      </w:pPr>
      <w:r w:rsidRPr="00ED67A7">
        <w:rPr>
          <w:b/>
        </w:rPr>
        <w:t>Les impôts directs </w:t>
      </w:r>
      <w:r>
        <w:rPr>
          <w:b/>
        </w:rPr>
        <w:t xml:space="preserve">(contribuables) </w:t>
      </w:r>
      <w:r w:rsidRPr="00ED67A7">
        <w:rPr>
          <w:b/>
        </w:rPr>
        <w:t>:</w:t>
      </w:r>
      <w:r>
        <w:t xml:space="preserve"> impôts supportés directement par les personnes qui y sont assujetties. Ils sont souvent recouvrés à l’aide d’un rôle, c’est-à-dire d’une liste dénominative de contribuables (impôts sur les sociétés, taxe d’habitation, ISF,…)</w:t>
      </w:r>
    </w:p>
    <w:p w:rsidR="00ED67A7" w:rsidRDefault="00ED67A7" w:rsidP="00ED67A7">
      <w:pPr>
        <w:pStyle w:val="Paragraphedeliste"/>
        <w:numPr>
          <w:ilvl w:val="0"/>
          <w:numId w:val="4"/>
        </w:numPr>
      </w:pPr>
      <w:r w:rsidRPr="00ED67A7">
        <w:rPr>
          <w:b/>
        </w:rPr>
        <w:t>Les impôts indirects</w:t>
      </w:r>
      <w:r>
        <w:rPr>
          <w:b/>
        </w:rPr>
        <w:t xml:space="preserve"> (redevables)</w:t>
      </w:r>
      <w:r w:rsidRPr="00ED67A7">
        <w:rPr>
          <w:b/>
        </w:rPr>
        <w:t> :</w:t>
      </w:r>
      <w:r>
        <w:t xml:space="preserve"> impôts sur la dépense, s’incorporent dans le prix des biens ou des services consommés. Les entreprises les versent à l’Etat. Il en existe deux catégories :</w:t>
      </w:r>
    </w:p>
    <w:p w:rsidR="00ED67A7" w:rsidRDefault="00ED67A7" w:rsidP="00ED67A7">
      <w:pPr>
        <w:pStyle w:val="Paragraphedeliste"/>
        <w:numPr>
          <w:ilvl w:val="1"/>
          <w:numId w:val="4"/>
        </w:numPr>
      </w:pPr>
      <w:r>
        <w:t>La taxe sur la valeur ajoutée (TVA) : dépend de la consommation.</w:t>
      </w:r>
    </w:p>
    <w:p w:rsidR="008C227B" w:rsidRDefault="00ED67A7" w:rsidP="00ED67A7">
      <w:pPr>
        <w:pStyle w:val="Paragraphedeliste"/>
        <w:numPr>
          <w:ilvl w:val="1"/>
          <w:numId w:val="4"/>
        </w:numPr>
      </w:pPr>
      <w:r>
        <w:t>Les contributions indirectes : relatives aux produits ou activités déterminés.</w:t>
      </w:r>
    </w:p>
    <w:p w:rsidR="00ED67A7" w:rsidRDefault="008C227B" w:rsidP="008C227B">
      <w:pPr>
        <w:rPr>
          <w:b/>
        </w:rPr>
      </w:pPr>
      <w:r w:rsidRPr="008C227B">
        <w:rPr>
          <w:b/>
          <w:u w:val="single"/>
        </w:rPr>
        <w:t xml:space="preserve">TVA = </w:t>
      </w:r>
      <w:r w:rsidRPr="008C227B">
        <w:rPr>
          <w:b/>
        </w:rPr>
        <w:t>impôt général sur la consommation qui est directement facturé aux clients sur les biens qu’ils consomment ou les services qu’ils utilisent en France.</w:t>
      </w:r>
    </w:p>
    <w:p w:rsidR="00052C34" w:rsidRPr="008C227B" w:rsidRDefault="00052C34" w:rsidP="008C227B">
      <w:pPr>
        <w:rPr>
          <w:b/>
        </w:rPr>
      </w:pP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8C227B" w:rsidTr="008C2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:rsidR="00052C34" w:rsidRDefault="00052C34" w:rsidP="008C227B">
            <w:pPr>
              <w:rPr>
                <w:b w:val="0"/>
                <w:i/>
              </w:rPr>
            </w:pPr>
          </w:p>
          <w:p w:rsidR="008C227B" w:rsidRDefault="008C227B" w:rsidP="008C227B">
            <w:pPr>
              <w:rPr>
                <w:b w:val="0"/>
                <w:i/>
              </w:rPr>
            </w:pPr>
            <w:r w:rsidRPr="008C227B">
              <w:rPr>
                <w:b w:val="0"/>
                <w:i/>
              </w:rPr>
              <w:t>Répartition des recettes fiscales nettes de l’Etat en 2013 :</w:t>
            </w:r>
          </w:p>
          <w:p w:rsidR="00052C34" w:rsidRPr="008C227B" w:rsidRDefault="00052C34" w:rsidP="008C227B">
            <w:pPr>
              <w:rPr>
                <w:b w:val="0"/>
                <w:i/>
              </w:rPr>
            </w:pPr>
          </w:p>
          <w:p w:rsidR="008C227B" w:rsidRPr="008C227B" w:rsidRDefault="008C227B" w:rsidP="008C227B">
            <w:pPr>
              <w:pStyle w:val="Paragraphedeliste"/>
              <w:numPr>
                <w:ilvl w:val="0"/>
                <w:numId w:val="4"/>
              </w:numPr>
              <w:rPr>
                <w:b w:val="0"/>
                <w:i/>
              </w:rPr>
            </w:pPr>
            <w:r w:rsidRPr="008C227B">
              <w:rPr>
                <w:b w:val="0"/>
                <w:i/>
              </w:rPr>
              <w:t>47.3% = TVA nette</w:t>
            </w:r>
          </w:p>
          <w:p w:rsidR="008C227B" w:rsidRPr="008C227B" w:rsidRDefault="008C227B" w:rsidP="008C227B">
            <w:pPr>
              <w:pStyle w:val="Paragraphedeliste"/>
              <w:numPr>
                <w:ilvl w:val="0"/>
                <w:numId w:val="4"/>
              </w:numPr>
              <w:rPr>
                <w:b w:val="0"/>
                <w:i/>
              </w:rPr>
            </w:pPr>
            <w:r w:rsidRPr="008C227B">
              <w:rPr>
                <w:b w:val="0"/>
                <w:i/>
              </w:rPr>
              <w:t>24.1% = Impôt net sur le revenu</w:t>
            </w:r>
          </w:p>
          <w:p w:rsidR="008C227B" w:rsidRPr="008C227B" w:rsidRDefault="008C227B" w:rsidP="008C227B">
            <w:pPr>
              <w:pStyle w:val="Paragraphedeliste"/>
              <w:numPr>
                <w:ilvl w:val="0"/>
                <w:numId w:val="4"/>
              </w:numPr>
              <w:rPr>
                <w:b w:val="0"/>
                <w:i/>
              </w:rPr>
            </w:pPr>
            <w:r w:rsidRPr="008C227B">
              <w:rPr>
                <w:b w:val="0"/>
                <w:i/>
              </w:rPr>
              <w:t>17.9% = Impôt net sur les sociétés</w:t>
            </w:r>
          </w:p>
          <w:p w:rsidR="008C227B" w:rsidRPr="008C227B" w:rsidRDefault="008C227B" w:rsidP="008C227B">
            <w:pPr>
              <w:pStyle w:val="Paragraphedeliste"/>
              <w:numPr>
                <w:ilvl w:val="0"/>
                <w:numId w:val="4"/>
              </w:numPr>
              <w:rPr>
                <w:b w:val="0"/>
                <w:i/>
              </w:rPr>
            </w:pPr>
            <w:r w:rsidRPr="008C227B">
              <w:rPr>
                <w:b w:val="0"/>
                <w:i/>
              </w:rPr>
              <w:t>6.1% = Autres recettes fiscales nettes</w:t>
            </w:r>
          </w:p>
          <w:p w:rsidR="008C227B" w:rsidRDefault="008C227B" w:rsidP="008C227B">
            <w:pPr>
              <w:pStyle w:val="Paragraphedeliste"/>
              <w:numPr>
                <w:ilvl w:val="0"/>
                <w:numId w:val="4"/>
              </w:numPr>
              <w:rPr>
                <w:b w:val="0"/>
                <w:i/>
              </w:rPr>
            </w:pPr>
            <w:r w:rsidRPr="008C227B">
              <w:rPr>
                <w:b w:val="0"/>
                <w:i/>
              </w:rPr>
              <w:t>4.6% = Taxe intérieure de la consommation sur les produits pétroliers.</w:t>
            </w:r>
          </w:p>
          <w:p w:rsidR="00052C34" w:rsidRPr="008C227B" w:rsidRDefault="00052C34" w:rsidP="00052C34">
            <w:pPr>
              <w:pStyle w:val="Paragraphedeliste"/>
              <w:rPr>
                <w:b w:val="0"/>
                <w:i/>
              </w:rPr>
            </w:pPr>
          </w:p>
        </w:tc>
      </w:tr>
    </w:tbl>
    <w:p w:rsidR="00ED67A7" w:rsidRDefault="00ED67A7" w:rsidP="008C227B"/>
    <w:p w:rsidR="00052C34" w:rsidRPr="00ED67A7" w:rsidRDefault="00052C34" w:rsidP="008C227B"/>
    <w:p w:rsidR="00ED67A7" w:rsidRPr="00A93816" w:rsidRDefault="008C227B" w:rsidP="00ED67A7">
      <w:pPr>
        <w:pStyle w:val="Paragraphedeliste"/>
        <w:numPr>
          <w:ilvl w:val="0"/>
          <w:numId w:val="1"/>
        </w:numPr>
      </w:pPr>
      <w:r>
        <w:rPr>
          <w:b/>
          <w:color w:val="FF0000"/>
          <w:sz w:val="24"/>
        </w:rPr>
        <w:t xml:space="preserve">Assujettissement </w:t>
      </w:r>
      <w:r w:rsidR="00587204">
        <w:rPr>
          <w:b/>
          <w:color w:val="FF0000"/>
          <w:sz w:val="20"/>
        </w:rPr>
        <w:t xml:space="preserve">(fait d’être soumis) </w:t>
      </w:r>
      <w:r>
        <w:rPr>
          <w:b/>
          <w:color w:val="FF0000"/>
          <w:sz w:val="24"/>
        </w:rPr>
        <w:t>et taux</w:t>
      </w:r>
    </w:p>
    <w:p w:rsidR="00587204" w:rsidRDefault="00587204" w:rsidP="00587204">
      <w:pPr>
        <w:spacing w:after="0"/>
      </w:pPr>
      <w:r w:rsidRPr="00587204">
        <w:rPr>
          <w:b/>
        </w:rPr>
        <w:t>L’assujettissement à la taxe</w:t>
      </w:r>
      <w:r>
        <w:t xml:space="preserve">, est déterminé par la nature des opérations effectuées. </w:t>
      </w:r>
      <w:r>
        <w:br/>
        <w:t xml:space="preserve">Sont imposables les livraisons de biens et les prestations de services : </w:t>
      </w:r>
    </w:p>
    <w:p w:rsidR="00587204" w:rsidRDefault="00587204" w:rsidP="00052C34">
      <w:pPr>
        <w:pStyle w:val="Paragraphedeliste"/>
        <w:numPr>
          <w:ilvl w:val="0"/>
          <w:numId w:val="4"/>
        </w:numPr>
        <w:spacing w:before="120" w:after="0"/>
      </w:pPr>
      <w:r>
        <w:t>Relevant d’une activité économique.</w:t>
      </w:r>
    </w:p>
    <w:p w:rsidR="00587204" w:rsidRDefault="00587204" w:rsidP="00052C34">
      <w:pPr>
        <w:pStyle w:val="Paragraphedeliste"/>
        <w:numPr>
          <w:ilvl w:val="0"/>
          <w:numId w:val="4"/>
        </w:numPr>
        <w:spacing w:before="120" w:after="0"/>
      </w:pPr>
      <w:r>
        <w:t>Effectuées à titre onéreux.</w:t>
      </w:r>
    </w:p>
    <w:p w:rsidR="00587204" w:rsidRDefault="00587204" w:rsidP="00052C34">
      <w:pPr>
        <w:pStyle w:val="Paragraphedeliste"/>
        <w:numPr>
          <w:ilvl w:val="0"/>
          <w:numId w:val="4"/>
        </w:numPr>
        <w:spacing w:before="120"/>
      </w:pPr>
      <w:r>
        <w:t>Par des assujettis, c’est-à-dire des personnes réalisant de manière indépendante, des opérations qui entrent dans le champ d’application de la TVA.</w:t>
      </w:r>
    </w:p>
    <w:p w:rsidR="00052C34" w:rsidRDefault="00052C34" w:rsidP="00052C34">
      <w:pPr>
        <w:pStyle w:val="Paragraphedeliste"/>
      </w:pPr>
    </w:p>
    <w:p w:rsidR="00E604C7" w:rsidRDefault="00587204" w:rsidP="00E604C7">
      <w:pPr>
        <w:spacing w:after="0"/>
      </w:pPr>
      <w:r w:rsidRPr="00587204">
        <w:rPr>
          <w:b/>
        </w:rPr>
        <w:t>Taux de TVA en vigueur en France</w:t>
      </w:r>
      <w:r>
        <w:rPr>
          <w:b/>
        </w:rPr>
        <w:t xml:space="preserve">. </w:t>
      </w:r>
      <w:r>
        <w:t>Au 01/01/2014, les principaux taux de TVA sont les suivants :</w:t>
      </w:r>
    </w:p>
    <w:p w:rsidR="00E604C7" w:rsidRPr="00E604C7" w:rsidRDefault="00E604C7" w:rsidP="00052C34">
      <w:pPr>
        <w:pStyle w:val="Paragraphedeliste"/>
        <w:numPr>
          <w:ilvl w:val="0"/>
          <w:numId w:val="5"/>
        </w:numPr>
        <w:spacing w:before="120" w:after="0"/>
        <w:rPr>
          <w:b/>
        </w:rPr>
      </w:pPr>
      <w:r>
        <w:rPr>
          <w:u w:val="single"/>
        </w:rPr>
        <w:t xml:space="preserve">Taux normal : </w:t>
      </w:r>
      <w:r>
        <w:t>20% (majorité des biens et des prestations de services).</w:t>
      </w:r>
    </w:p>
    <w:p w:rsidR="00E604C7" w:rsidRPr="00E604C7" w:rsidRDefault="00E604C7" w:rsidP="00052C34">
      <w:pPr>
        <w:pStyle w:val="Paragraphedeliste"/>
        <w:numPr>
          <w:ilvl w:val="0"/>
          <w:numId w:val="5"/>
        </w:numPr>
        <w:spacing w:before="120"/>
        <w:rPr>
          <w:b/>
        </w:rPr>
      </w:pPr>
      <w:r>
        <w:rPr>
          <w:u w:val="single"/>
        </w:rPr>
        <w:t>Taux intermédiaire :</w:t>
      </w:r>
      <w:r>
        <w:rPr>
          <w:b/>
        </w:rPr>
        <w:t xml:space="preserve"> </w:t>
      </w:r>
      <w:r>
        <w:t>10% (restauration, vente de produits alimentaires préparés, transports, travaux de rénovation dans les logements anciennes).</w:t>
      </w:r>
    </w:p>
    <w:p w:rsidR="00ED67A7" w:rsidRDefault="00E604C7" w:rsidP="00052C34">
      <w:pPr>
        <w:pStyle w:val="Paragraphedeliste"/>
        <w:numPr>
          <w:ilvl w:val="0"/>
          <w:numId w:val="5"/>
        </w:numPr>
        <w:spacing w:before="120"/>
        <w:rPr>
          <w:b/>
        </w:rPr>
      </w:pPr>
      <w:r>
        <w:rPr>
          <w:u w:val="single"/>
        </w:rPr>
        <w:t>Taux réduit :</w:t>
      </w:r>
      <w:r>
        <w:rPr>
          <w:b/>
        </w:rPr>
        <w:t xml:space="preserve"> </w:t>
      </w:r>
      <w:r>
        <w:t>5,5% (produits de 1</w:t>
      </w:r>
      <w:r w:rsidRPr="00E604C7">
        <w:rPr>
          <w:vertAlign w:val="superscript"/>
        </w:rPr>
        <w:t>ère</w:t>
      </w:r>
      <w:r>
        <w:t xml:space="preserve"> nécessité = produits alimentaires, boissons sans alcool, cantine scolaire, énergie // spectacle vivant = théâtre, concert, cirque) // travaux d’amélioration énergétique des logements de plus de deux ans). </w:t>
      </w:r>
      <w:r w:rsidR="00ED67A7" w:rsidRPr="00E604C7">
        <w:rPr>
          <w:b/>
        </w:rPr>
        <w:br/>
      </w:r>
    </w:p>
    <w:p w:rsidR="00052C34" w:rsidRDefault="00052C34" w:rsidP="00052C34">
      <w:pPr>
        <w:rPr>
          <w:b/>
        </w:rPr>
      </w:pPr>
    </w:p>
    <w:p w:rsidR="00ED67A7" w:rsidRPr="00B6184A" w:rsidRDefault="008C227B" w:rsidP="00ED67A7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color w:val="FF0000"/>
          <w:sz w:val="24"/>
        </w:rPr>
        <w:lastRenderedPageBreak/>
        <w:t>Mécanisme de la TVA</w:t>
      </w:r>
      <w:r w:rsidR="00ED67A7" w:rsidRPr="0052380A">
        <w:rPr>
          <w:b/>
          <w:color w:val="FF0000"/>
          <w:sz w:val="24"/>
        </w:rPr>
        <w:t>.</w:t>
      </w:r>
      <w:r w:rsidR="00ED67A7">
        <w:rPr>
          <w:b/>
          <w:color w:val="FF0000"/>
          <w:sz w:val="24"/>
        </w:rPr>
        <w:br/>
      </w:r>
      <w:r w:rsidR="00ED67A7">
        <w:rPr>
          <w:b/>
          <w:color w:val="FFFFFF" w:themeColor="background1"/>
          <w:sz w:val="10"/>
        </w:rPr>
        <w:t>d</w:t>
      </w:r>
    </w:p>
    <w:p w:rsidR="00E604C7" w:rsidRPr="00D414E7" w:rsidRDefault="008C227B" w:rsidP="00ED67A7">
      <w:pPr>
        <w:pStyle w:val="Paragraphedeliste"/>
        <w:numPr>
          <w:ilvl w:val="1"/>
          <w:numId w:val="1"/>
        </w:numPr>
        <w:rPr>
          <w:b/>
          <w:sz w:val="24"/>
        </w:rPr>
      </w:pPr>
      <w:r>
        <w:rPr>
          <w:b/>
        </w:rPr>
        <w:t>Principe</w:t>
      </w:r>
      <w:r w:rsidR="00ED67A7">
        <w:rPr>
          <w:b/>
        </w:rPr>
        <w:t>.</w:t>
      </w:r>
    </w:p>
    <w:p w:rsidR="00052C34" w:rsidRDefault="00052C34" w:rsidP="00052C34">
      <w:pPr>
        <w:jc w:val="center"/>
        <w:rPr>
          <w:b/>
          <w:color w:val="FFFFFF" w:themeColor="background1"/>
          <w:sz w:val="12"/>
        </w:rPr>
      </w:pPr>
    </w:p>
    <w:p w:rsidR="00ED67A7" w:rsidRDefault="008C0880" w:rsidP="00877B94">
      <w:pPr>
        <w:jc w:val="center"/>
        <w:rPr>
          <w:b/>
          <w:color w:val="FFFFFF" w:themeColor="background1"/>
          <w:sz w:val="12"/>
        </w:rPr>
      </w:pPr>
      <w:r w:rsidRPr="008C0880">
        <w:rPr>
          <w:b/>
          <w:noProof/>
          <w:color w:val="FFFFFF" w:themeColor="background1"/>
          <w:sz w:val="12"/>
          <w:lang w:eastAsia="fr-FR"/>
        </w:rPr>
        <w:drawing>
          <wp:inline distT="0" distB="0" distL="0" distR="0">
            <wp:extent cx="5543550" cy="3332826"/>
            <wp:effectExtent l="76200" t="76200" r="133350" b="134620"/>
            <wp:docPr id="2" name="Image 2" descr="C:\Users\Romane Beels\Pictures\2014-10-25 compta\comp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e Beels\Pictures\2014-10-25 compta\compta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13451" r="4582" b="48582"/>
                    <a:stretch/>
                  </pic:blipFill>
                  <pic:spPr bwMode="auto">
                    <a:xfrm>
                      <a:off x="0" y="0"/>
                      <a:ext cx="5545245" cy="3333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B94" w:rsidRDefault="00877B94" w:rsidP="00877B94">
      <w:pPr>
        <w:jc w:val="center"/>
        <w:rPr>
          <w:b/>
          <w:color w:val="FFFFFF" w:themeColor="background1"/>
          <w:sz w:val="12"/>
        </w:rPr>
      </w:pPr>
    </w:p>
    <w:p w:rsidR="00877B94" w:rsidRPr="00877B94" w:rsidRDefault="00877B94" w:rsidP="00877B94">
      <w:pPr>
        <w:jc w:val="center"/>
        <w:rPr>
          <w:b/>
          <w:color w:val="FFFFFF" w:themeColor="background1"/>
          <w:sz w:val="12"/>
        </w:rPr>
      </w:pPr>
    </w:p>
    <w:p w:rsidR="00ED67A7" w:rsidRPr="00B6184A" w:rsidRDefault="00ED67A7" w:rsidP="00ED67A7">
      <w:pPr>
        <w:pStyle w:val="Paragraphedeliste"/>
        <w:ind w:left="-284"/>
        <w:rPr>
          <w:b/>
        </w:rPr>
      </w:pPr>
    </w:p>
    <w:p w:rsidR="00D414E7" w:rsidRPr="00052C34" w:rsidRDefault="008C227B" w:rsidP="00ED67A7">
      <w:pPr>
        <w:pStyle w:val="Paragraphedeliste"/>
        <w:numPr>
          <w:ilvl w:val="1"/>
          <w:numId w:val="1"/>
        </w:numPr>
        <w:rPr>
          <w:b/>
          <w:sz w:val="24"/>
        </w:rPr>
      </w:pPr>
      <w:r w:rsidRPr="00052C34">
        <w:rPr>
          <w:b/>
        </w:rPr>
        <w:t>Calcul de la TVA</w:t>
      </w:r>
      <w:r w:rsidR="00ED67A7" w:rsidRPr="00052C34">
        <w:rPr>
          <w:b/>
        </w:rPr>
        <w:t>.</w:t>
      </w:r>
    </w:p>
    <w:p w:rsidR="00D414E7" w:rsidRPr="00D414E7" w:rsidRDefault="00D414E7" w:rsidP="00D414E7">
      <w:pPr>
        <w:jc w:val="center"/>
        <w:rPr>
          <w:b/>
          <w:i/>
          <w:color w:val="FF0000"/>
          <w:sz w:val="24"/>
        </w:rPr>
      </w:pPr>
      <w:r w:rsidRPr="00D414E7">
        <w:rPr>
          <w:b/>
          <w:i/>
          <w:color w:val="FF0000"/>
          <w:sz w:val="24"/>
        </w:rPr>
        <w:t>La TVA n’est ni une charge, ni un produit pour l’entreprise.</w:t>
      </w:r>
    </w:p>
    <w:p w:rsidR="00D414E7" w:rsidRPr="00877B94" w:rsidRDefault="00D414E7" w:rsidP="00D414E7">
      <w:pPr>
        <w:rPr>
          <w:sz w:val="24"/>
        </w:rPr>
      </w:pPr>
      <w:r w:rsidRPr="00877B94">
        <w:rPr>
          <w:sz w:val="24"/>
          <w:highlight w:val="yellow"/>
        </w:rPr>
        <w:t xml:space="preserve">TVA collectée – TVA déductible sur autres biens et services – Crédit de TVA de la période précédente </w:t>
      </w:r>
      <w:r w:rsidRPr="00877B94">
        <w:rPr>
          <w:sz w:val="24"/>
          <w:highlight w:val="yellow"/>
        </w:rPr>
        <w:br/>
        <w:t>= TVA à décaisser (si TVA &gt; 0)</w:t>
      </w:r>
      <w:r w:rsidRPr="00877B94">
        <w:rPr>
          <w:sz w:val="24"/>
          <w:highlight w:val="yellow"/>
        </w:rPr>
        <w:br/>
        <w:t>= Crédit de TVA (si TVA &lt; 0)</w:t>
      </w:r>
      <w:r w:rsidR="00877B94">
        <w:rPr>
          <w:sz w:val="24"/>
        </w:rPr>
        <w:br/>
      </w:r>
    </w:p>
    <w:p w:rsidR="00D414E7" w:rsidRDefault="00D414E7" w:rsidP="00D414E7">
      <w:pPr>
        <w:pStyle w:val="Paragraphedeliste"/>
        <w:numPr>
          <w:ilvl w:val="0"/>
          <w:numId w:val="6"/>
        </w:numPr>
      </w:pPr>
      <w:r>
        <w:t xml:space="preserve">Si TVA collectée &gt; TVA déductible </w:t>
      </w:r>
      <w:r>
        <w:sym w:font="Wingdings" w:char="F0E0"/>
      </w:r>
      <w:r>
        <w:t xml:space="preserve"> TVA à décaisser (dette envers l’Etat).</w:t>
      </w:r>
    </w:p>
    <w:p w:rsidR="00D414E7" w:rsidRDefault="00D414E7" w:rsidP="00D414E7">
      <w:pPr>
        <w:pStyle w:val="Paragraphedeliste"/>
        <w:numPr>
          <w:ilvl w:val="0"/>
          <w:numId w:val="6"/>
        </w:numPr>
      </w:pPr>
      <w:r>
        <w:t xml:space="preserve">Si TVA collectée &lt; TVA déductible </w:t>
      </w:r>
      <w:r>
        <w:sym w:font="Wingdings" w:char="F0E0"/>
      </w:r>
      <w:r>
        <w:t xml:space="preserve"> Crédit de taxe (créance envers l’Etat).</w:t>
      </w:r>
      <w:r w:rsidR="00877B94">
        <w:br/>
      </w:r>
    </w:p>
    <w:p w:rsidR="00ED67A7" w:rsidRPr="00D414E7" w:rsidRDefault="00D414E7" w:rsidP="00D414E7">
      <w:pPr>
        <w:rPr>
          <w:sz w:val="24"/>
        </w:rPr>
      </w:pPr>
      <w:r>
        <w:t xml:space="preserve">    L’entreprise peut demander le report du crédit de TVA sur le mois suivant ou demander le remboursement de cette créance.</w:t>
      </w:r>
      <w:r w:rsidR="00ED67A7" w:rsidRPr="00D414E7">
        <w:br/>
      </w:r>
    </w:p>
    <w:sectPr w:rsidR="00ED67A7" w:rsidRPr="00D414E7" w:rsidSect="00052C34">
      <w:headerReference w:type="default" r:id="rId9"/>
      <w:pgSz w:w="11906" w:h="16838"/>
      <w:pgMar w:top="127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9F" w:rsidRDefault="009F049F" w:rsidP="00095BC9">
      <w:pPr>
        <w:spacing w:after="0" w:line="240" w:lineRule="auto"/>
      </w:pPr>
      <w:r>
        <w:separator/>
      </w:r>
    </w:p>
  </w:endnote>
  <w:endnote w:type="continuationSeparator" w:id="0">
    <w:p w:rsidR="009F049F" w:rsidRDefault="009F049F" w:rsidP="0009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9F" w:rsidRDefault="009F049F" w:rsidP="00095BC9">
      <w:pPr>
        <w:spacing w:after="0" w:line="240" w:lineRule="auto"/>
      </w:pPr>
      <w:r>
        <w:separator/>
      </w:r>
    </w:p>
  </w:footnote>
  <w:footnote w:type="continuationSeparator" w:id="0">
    <w:p w:rsidR="009F049F" w:rsidRDefault="009F049F" w:rsidP="0009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C9" w:rsidRDefault="00095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6042660</wp:posOffset>
          </wp:positionH>
          <wp:positionV relativeFrom="paragraph">
            <wp:posOffset>-462915</wp:posOffset>
          </wp:positionV>
          <wp:extent cx="873125" cy="791210"/>
          <wp:effectExtent l="0" t="0" r="3175" b="889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14B1"/>
    <w:multiLevelType w:val="hybridMultilevel"/>
    <w:tmpl w:val="CF50E12C"/>
    <w:lvl w:ilvl="0" w:tplc="87C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D08E8"/>
    <w:multiLevelType w:val="hybridMultilevel"/>
    <w:tmpl w:val="5FE43C5A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B2681"/>
    <w:multiLevelType w:val="hybridMultilevel"/>
    <w:tmpl w:val="6E10DB7C"/>
    <w:lvl w:ilvl="0" w:tplc="CD26A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779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02"/>
    <w:multiLevelType w:val="hybridMultilevel"/>
    <w:tmpl w:val="695A4172"/>
    <w:lvl w:ilvl="0" w:tplc="9036FDF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81A6D"/>
    <w:multiLevelType w:val="hybridMultilevel"/>
    <w:tmpl w:val="11F2E3B0"/>
    <w:lvl w:ilvl="0" w:tplc="83DAC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94F6B"/>
    <w:multiLevelType w:val="hybridMultilevel"/>
    <w:tmpl w:val="E488B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6"/>
    <w:rsid w:val="00052C34"/>
    <w:rsid w:val="00095BC9"/>
    <w:rsid w:val="003C12B2"/>
    <w:rsid w:val="00587204"/>
    <w:rsid w:val="00877B94"/>
    <w:rsid w:val="008C0880"/>
    <w:rsid w:val="008C227B"/>
    <w:rsid w:val="009F049F"/>
    <w:rsid w:val="00D414E7"/>
    <w:rsid w:val="00E604C7"/>
    <w:rsid w:val="00ED67A7"/>
    <w:rsid w:val="00E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67A7"/>
    <w:pPr>
      <w:ind w:left="720"/>
      <w:contextualSpacing/>
    </w:pPr>
  </w:style>
  <w:style w:type="table" w:customStyle="1" w:styleId="GridTable1LightAccent4">
    <w:name w:val="Grid Table 1 Light Accent 4"/>
    <w:basedOn w:val="TableauNormal"/>
    <w:uiPriority w:val="46"/>
    <w:rsid w:val="008C227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8C22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9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BC9"/>
  </w:style>
  <w:style w:type="paragraph" w:styleId="Pieddepage">
    <w:name w:val="footer"/>
    <w:basedOn w:val="Normal"/>
    <w:link w:val="PieddepageCar"/>
    <w:uiPriority w:val="99"/>
    <w:unhideWhenUsed/>
    <w:rsid w:val="0009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67A7"/>
    <w:pPr>
      <w:ind w:left="720"/>
      <w:contextualSpacing/>
    </w:pPr>
  </w:style>
  <w:style w:type="table" w:customStyle="1" w:styleId="GridTable1LightAccent4">
    <w:name w:val="Grid Table 1 Light Accent 4"/>
    <w:basedOn w:val="TableauNormal"/>
    <w:uiPriority w:val="46"/>
    <w:rsid w:val="008C227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8C22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9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BC9"/>
  </w:style>
  <w:style w:type="paragraph" w:styleId="Pieddepage">
    <w:name w:val="footer"/>
    <w:basedOn w:val="Normal"/>
    <w:link w:val="PieddepageCar"/>
    <w:uiPriority w:val="99"/>
    <w:unhideWhenUsed/>
    <w:rsid w:val="0009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5</cp:revision>
  <dcterms:created xsi:type="dcterms:W3CDTF">2014-10-23T17:56:00Z</dcterms:created>
  <dcterms:modified xsi:type="dcterms:W3CDTF">2018-02-26T19:59:00Z</dcterms:modified>
</cp:coreProperties>
</file>