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6ColorfulAccent5"/>
        <w:tblW w:w="10060" w:type="dxa"/>
        <w:tblLook w:val="04A0" w:firstRow="1" w:lastRow="0" w:firstColumn="1" w:lastColumn="0" w:noHBand="0" w:noVBand="1"/>
      </w:tblPr>
      <w:tblGrid>
        <w:gridCol w:w="10060"/>
      </w:tblGrid>
      <w:tr w:rsidR="00B24ED1" w14:paraId="3CB909C5" w14:textId="77777777" w:rsidTr="001A589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060" w:type="dxa"/>
            <w:tcBorders>
              <w:top w:val="single" w:sz="18" w:space="0" w:color="9CC2E5" w:themeColor="accent1" w:themeTint="99"/>
              <w:left w:val="single" w:sz="18" w:space="0" w:color="9CC2E5" w:themeColor="accent1" w:themeTint="99"/>
              <w:bottom w:val="single" w:sz="18" w:space="0" w:color="9CC2E5" w:themeColor="accent1" w:themeTint="99"/>
              <w:right w:val="single" w:sz="18" w:space="0" w:color="9CC2E5" w:themeColor="accent1" w:themeTint="99"/>
            </w:tcBorders>
          </w:tcPr>
          <w:p w14:paraId="49E3A18A" w14:textId="77777777" w:rsidR="00B24ED1" w:rsidRPr="001A5896" w:rsidRDefault="00C47546" w:rsidP="006B7719">
            <w:pPr>
              <w:spacing w:before="120" w:line="360" w:lineRule="auto"/>
              <w:jc w:val="center"/>
              <w:rPr>
                <w:u w:val="single"/>
              </w:rPr>
            </w:pPr>
            <w:r>
              <w:rPr>
                <w:color w:val="000000" w:themeColor="text1"/>
                <w:sz w:val="28"/>
                <w:u w:val="single"/>
              </w:rPr>
              <w:t>LE COMMERCE INTERNATIONAL</w:t>
            </w:r>
          </w:p>
        </w:tc>
      </w:tr>
    </w:tbl>
    <w:p w14:paraId="21B88DDB" w14:textId="77777777" w:rsidR="00BF5CE5" w:rsidRDefault="00BF5CE5" w:rsidP="00952A8D">
      <w:pPr>
        <w:jc w:val="both"/>
        <w:rPr>
          <w:b/>
        </w:rPr>
      </w:pPr>
    </w:p>
    <w:p w14:paraId="4026C261" w14:textId="77777777" w:rsidR="00C47546" w:rsidRDefault="00C47546" w:rsidP="00952A8D">
      <w:pPr>
        <w:jc w:val="both"/>
      </w:pPr>
      <w:r>
        <w:rPr>
          <w:b/>
        </w:rPr>
        <w:t xml:space="preserve">     </w:t>
      </w:r>
      <w:r>
        <w:t xml:space="preserve">L’ouverture de l’économie est-il bon pour un pays ? Ou serait-il plus bénéfique de rester à un commerce national (protectionnisme) ? </w:t>
      </w:r>
    </w:p>
    <w:p w14:paraId="29FBE971" w14:textId="77777777" w:rsidR="00C47546" w:rsidRPr="00C47546" w:rsidRDefault="00C47546" w:rsidP="00952A8D">
      <w:pPr>
        <w:jc w:val="both"/>
      </w:pPr>
      <w:r>
        <w:t xml:space="preserve">     La tendance est à l’internationalisation (1 jour sur 5 est consacré à l’export : 450 milliards d’euros). Un léger déficit est dû aux hydrocarbures (pétrole). ONC prône le libre-échange et pousse à ouvrir les frontières commerciales. L’Europe depuis 1957 prouve que la croissance est plus forte, mais c’est aussi le cas pour le MERCOSUR, l’ALENA. </w:t>
      </w:r>
    </w:p>
    <w:p w14:paraId="40376499" w14:textId="77777777" w:rsidR="00C47546" w:rsidRDefault="00C47546" w:rsidP="00952A8D">
      <w:pPr>
        <w:jc w:val="both"/>
        <w:rPr>
          <w:b/>
        </w:rPr>
      </w:pPr>
    </w:p>
    <w:p w14:paraId="281B258A" w14:textId="77777777" w:rsidR="00E3599E" w:rsidRDefault="00C47546" w:rsidP="00952A8D">
      <w:pPr>
        <w:pStyle w:val="Titre3"/>
        <w:jc w:val="both"/>
      </w:pPr>
      <w:r>
        <w:t>LES THEORIES DU COMMERCE INTERNATIONAL</w:t>
      </w:r>
    </w:p>
    <w:p w14:paraId="347BDE73" w14:textId="77777777" w:rsidR="00952A8D" w:rsidRDefault="005D15D0" w:rsidP="00952A8D">
      <w:pPr>
        <w:jc w:val="both"/>
      </w:pPr>
      <w:r>
        <w:t xml:space="preserve">     C’est surtout les courants libéraux et néo-classiques qui prônent une </w:t>
      </w:r>
      <w:r w:rsidRPr="005D15D0">
        <w:rPr>
          <w:b/>
        </w:rPr>
        <w:t>meilleure efficacité pour la production</w:t>
      </w:r>
      <w:r>
        <w:t xml:space="preserve"> (travail + capitaux) ainsi qu’une croissance plus forte avec le </w:t>
      </w:r>
      <w:r w:rsidRPr="005D15D0">
        <w:rPr>
          <w:b/>
        </w:rPr>
        <w:t>libre-échange</w:t>
      </w:r>
      <w:r>
        <w:t>.</w:t>
      </w:r>
    </w:p>
    <w:p w14:paraId="0F11A7EA" w14:textId="77777777" w:rsidR="005D15D0" w:rsidRPr="005D15D0" w:rsidRDefault="005D15D0" w:rsidP="00952A8D">
      <w:pPr>
        <w:jc w:val="both"/>
      </w:pPr>
    </w:p>
    <w:p w14:paraId="33637016" w14:textId="77777777" w:rsidR="00C47546" w:rsidRDefault="00C47546" w:rsidP="00952A8D">
      <w:pPr>
        <w:pStyle w:val="Titre1"/>
        <w:jc w:val="both"/>
      </w:pPr>
      <w:r>
        <w:t>LES THEORIES CLASSIQUES DU COMMERCE INTERNATIONAL</w:t>
      </w:r>
    </w:p>
    <w:p w14:paraId="08CFB8B0" w14:textId="77777777" w:rsidR="00C47546" w:rsidRDefault="00C47546" w:rsidP="00952A8D">
      <w:pPr>
        <w:pStyle w:val="Titre2"/>
        <w:jc w:val="both"/>
      </w:pPr>
      <w:r>
        <w:t>La théorie de l’avantage absolu (Adam Smith ; 1776).</w:t>
      </w:r>
    </w:p>
    <w:p w14:paraId="23ECF05C" w14:textId="77777777" w:rsidR="005D15D0" w:rsidRDefault="005D15D0" w:rsidP="00952A8D">
      <w:pPr>
        <w:jc w:val="both"/>
        <w:rPr>
          <w:i/>
        </w:rPr>
      </w:pPr>
      <w:r>
        <w:t xml:space="preserve">     Chaque pays doit se </w:t>
      </w:r>
      <w:r w:rsidRPr="00952A8D">
        <w:rPr>
          <w:b/>
        </w:rPr>
        <w:t>spécialiser</w:t>
      </w:r>
      <w:r>
        <w:t xml:space="preserve"> </w:t>
      </w:r>
      <w:r w:rsidRPr="00952A8D">
        <w:rPr>
          <w:b/>
        </w:rPr>
        <w:t>dans</w:t>
      </w:r>
      <w:r>
        <w:t xml:space="preserve"> </w:t>
      </w:r>
      <w:r w:rsidRPr="00952A8D">
        <w:rPr>
          <w:b/>
        </w:rPr>
        <w:t>la production</w:t>
      </w:r>
      <w:r>
        <w:t xml:space="preserve"> où il possède un </w:t>
      </w:r>
      <w:r w:rsidRPr="00952A8D">
        <w:rPr>
          <w:b/>
        </w:rPr>
        <w:t>avantage absolu</w:t>
      </w:r>
      <w:r>
        <w:t xml:space="preserve">. L’avantage absolu rend compte des meilleurs prix, de la meilleure qualité du pays. Ainsi, il doit acquérir à l’étranger les produits pour lesquels son infériorité est absolue. </w:t>
      </w:r>
      <w:r>
        <w:rPr>
          <w:i/>
        </w:rPr>
        <w:t xml:space="preserve">Ex : pétrole, production agricole. </w:t>
      </w:r>
    </w:p>
    <w:p w14:paraId="53CDCAA5" w14:textId="77777777" w:rsidR="005D15D0" w:rsidRDefault="005D15D0" w:rsidP="00952A8D">
      <w:pPr>
        <w:jc w:val="both"/>
        <w:rPr>
          <w:i/>
        </w:rPr>
      </w:pPr>
      <w:r>
        <w:t xml:space="preserve">     Ce processus entraîne une spécialisation et créée une division internationale du travail. Chaque pays retire un avantage de cette division du travail car les facteurs de production sont plus efficaces. </w:t>
      </w:r>
      <w:r>
        <w:rPr>
          <w:i/>
        </w:rPr>
        <w:t xml:space="preserve">Ex : France importe des machines à outils à l’Allemagne et exporte des produits agricoles à l’Allemagne. </w:t>
      </w:r>
    </w:p>
    <w:p w14:paraId="18E3F1E3" w14:textId="77777777" w:rsidR="005D15D0" w:rsidRPr="005D15D0" w:rsidRDefault="005D15D0" w:rsidP="00952A8D">
      <w:pPr>
        <w:jc w:val="both"/>
        <w:rPr>
          <w:i/>
        </w:rPr>
      </w:pPr>
    </w:p>
    <w:p w14:paraId="7BC3520D" w14:textId="77777777" w:rsidR="00C47546" w:rsidRDefault="00C47546" w:rsidP="00952A8D">
      <w:pPr>
        <w:pStyle w:val="Titre2"/>
        <w:jc w:val="both"/>
      </w:pPr>
      <w:r>
        <w:t xml:space="preserve">La théorie de l’avantage comparatif (David Ricardo ; 1817). </w:t>
      </w:r>
    </w:p>
    <w:p w14:paraId="0F2FAC98" w14:textId="77777777" w:rsidR="00952A8D" w:rsidRDefault="00952A8D" w:rsidP="00952A8D">
      <w:pPr>
        <w:jc w:val="both"/>
      </w:pPr>
      <w:r>
        <w:t xml:space="preserve">     C’est une théorie inscrite dans le préambule de l’organisation mondiale du commerce (OMC). Le commerce international s’explique par la </w:t>
      </w:r>
      <w:r w:rsidRPr="00952A8D">
        <w:rPr>
          <w:b/>
        </w:rPr>
        <w:t>différence d’efficacité productive</w:t>
      </w:r>
      <w:r>
        <w:t xml:space="preserve"> des pays (compétitivité). </w:t>
      </w:r>
    </w:p>
    <w:p w14:paraId="32FCFE0A" w14:textId="77777777" w:rsidR="00952A8D" w:rsidRPr="005A2E01" w:rsidRDefault="00952A8D" w:rsidP="00952A8D">
      <w:pPr>
        <w:jc w:val="both"/>
        <w:rPr>
          <w:i/>
        </w:rPr>
      </w:pPr>
      <w:r>
        <w:t xml:space="preserve">     Ricardo étudie les coûts du travail pour une même quantité produite dans deux pays différents : Grande-Bretagne et Portugal pour la production de draps et de vin (en nombre de travailleurs).</w:t>
      </w:r>
      <w:r w:rsidR="005A2E01">
        <w:t xml:space="preserve"> Il dit que le protectionnisme ne sert à rien et qu’il faut participer au libre-échange. </w:t>
      </w:r>
    </w:p>
    <w:tbl>
      <w:tblPr>
        <w:tblStyle w:val="Grilledutableau"/>
        <w:tblW w:w="0" w:type="auto"/>
        <w:tblLook w:val="04A0" w:firstRow="1" w:lastRow="0" w:firstColumn="1" w:lastColumn="0" w:noHBand="0" w:noVBand="1"/>
      </w:tblPr>
      <w:tblGrid>
        <w:gridCol w:w="1555"/>
        <w:gridCol w:w="4110"/>
        <w:gridCol w:w="3828"/>
      </w:tblGrid>
      <w:tr w:rsidR="00952A8D" w:rsidRPr="00952A8D" w14:paraId="70EDC62D" w14:textId="77777777" w:rsidTr="005A2E01">
        <w:tc>
          <w:tcPr>
            <w:tcW w:w="1555" w:type="dxa"/>
            <w:tcBorders>
              <w:top w:val="single" w:sz="18" w:space="0" w:color="FFFFFF" w:themeColor="background1"/>
              <w:left w:val="single" w:sz="18" w:space="0" w:color="FFFFFF" w:themeColor="background1"/>
              <w:bottom w:val="single" w:sz="18" w:space="0" w:color="000000"/>
              <w:right w:val="single" w:sz="18" w:space="0" w:color="000000"/>
            </w:tcBorders>
          </w:tcPr>
          <w:p w14:paraId="2EAA8FAA" w14:textId="77777777" w:rsidR="00952A8D" w:rsidRPr="00952A8D" w:rsidRDefault="00952A8D" w:rsidP="00952A8D">
            <w:pPr>
              <w:jc w:val="center"/>
              <w:rPr>
                <w:b/>
              </w:rPr>
            </w:pPr>
          </w:p>
        </w:tc>
        <w:tc>
          <w:tcPr>
            <w:tcW w:w="4110" w:type="dxa"/>
            <w:tcBorders>
              <w:top w:val="single" w:sz="18" w:space="0" w:color="000000"/>
              <w:left w:val="single" w:sz="18" w:space="0" w:color="000000"/>
              <w:bottom w:val="single" w:sz="18" w:space="0" w:color="000000"/>
              <w:right w:val="single" w:sz="18" w:space="0" w:color="000000"/>
            </w:tcBorders>
          </w:tcPr>
          <w:p w14:paraId="605631EA" w14:textId="77777777" w:rsidR="00952A8D" w:rsidRPr="00952A8D" w:rsidRDefault="00952A8D" w:rsidP="00952A8D">
            <w:pPr>
              <w:jc w:val="center"/>
              <w:rPr>
                <w:b/>
              </w:rPr>
            </w:pPr>
            <w:r w:rsidRPr="00952A8D">
              <w:rPr>
                <w:b/>
              </w:rPr>
              <w:t>Grande-Bretagne</w:t>
            </w:r>
          </w:p>
        </w:tc>
        <w:tc>
          <w:tcPr>
            <w:tcW w:w="3828" w:type="dxa"/>
            <w:tcBorders>
              <w:top w:val="single" w:sz="18" w:space="0" w:color="000000"/>
              <w:left w:val="single" w:sz="18" w:space="0" w:color="000000"/>
              <w:bottom w:val="single" w:sz="18" w:space="0" w:color="000000"/>
              <w:right w:val="single" w:sz="18" w:space="0" w:color="000000"/>
            </w:tcBorders>
          </w:tcPr>
          <w:p w14:paraId="65C5D0F2" w14:textId="77777777" w:rsidR="00952A8D" w:rsidRPr="00952A8D" w:rsidRDefault="00952A8D" w:rsidP="00952A8D">
            <w:pPr>
              <w:jc w:val="center"/>
              <w:rPr>
                <w:b/>
              </w:rPr>
            </w:pPr>
            <w:r w:rsidRPr="00952A8D">
              <w:rPr>
                <w:b/>
              </w:rPr>
              <w:t>Portugal</w:t>
            </w:r>
          </w:p>
        </w:tc>
      </w:tr>
      <w:tr w:rsidR="005A2E01" w14:paraId="14BCF26E" w14:textId="77777777" w:rsidTr="005A2E01">
        <w:trPr>
          <w:trHeight w:val="358"/>
        </w:trPr>
        <w:tc>
          <w:tcPr>
            <w:tcW w:w="1555" w:type="dxa"/>
            <w:vMerge w:val="restart"/>
            <w:tcBorders>
              <w:top w:val="single" w:sz="18" w:space="0" w:color="000000"/>
              <w:left w:val="single" w:sz="18" w:space="0" w:color="000000"/>
              <w:right w:val="single" w:sz="18" w:space="0" w:color="000000"/>
            </w:tcBorders>
          </w:tcPr>
          <w:p w14:paraId="6CD8AC9F" w14:textId="77777777" w:rsidR="005A2E01" w:rsidRPr="00952A8D" w:rsidRDefault="005A2E01" w:rsidP="00952A8D">
            <w:pPr>
              <w:jc w:val="right"/>
              <w:rPr>
                <w:b/>
                <w:sz w:val="24"/>
              </w:rPr>
            </w:pPr>
            <w:r w:rsidRPr="00952A8D">
              <w:rPr>
                <w:b/>
                <w:sz w:val="24"/>
              </w:rPr>
              <w:t>Draps</w:t>
            </w:r>
          </w:p>
        </w:tc>
        <w:tc>
          <w:tcPr>
            <w:tcW w:w="4110" w:type="dxa"/>
            <w:tcBorders>
              <w:top w:val="single" w:sz="18" w:space="0" w:color="000000"/>
              <w:left w:val="single" w:sz="18" w:space="0" w:color="000000"/>
              <w:right w:val="single" w:sz="18" w:space="0" w:color="000000"/>
            </w:tcBorders>
          </w:tcPr>
          <w:p w14:paraId="4F634EC4" w14:textId="77777777" w:rsidR="005A2E01" w:rsidRPr="005A2E01" w:rsidRDefault="005A2E01" w:rsidP="005A2E01">
            <w:pPr>
              <w:jc w:val="center"/>
              <w:rPr>
                <w:rFonts w:eastAsiaTheme="minorEastAsia"/>
              </w:rPr>
            </w:pPr>
            <w:r>
              <w:t>100</w:t>
            </w:r>
          </w:p>
        </w:tc>
        <w:tc>
          <w:tcPr>
            <w:tcW w:w="3828" w:type="dxa"/>
            <w:tcBorders>
              <w:top w:val="single" w:sz="18" w:space="0" w:color="000000"/>
              <w:left w:val="single" w:sz="18" w:space="0" w:color="000000"/>
              <w:right w:val="single" w:sz="18" w:space="0" w:color="000000"/>
            </w:tcBorders>
          </w:tcPr>
          <w:p w14:paraId="2FD18A8C" w14:textId="77777777" w:rsidR="005A2E01" w:rsidRDefault="005A2E01" w:rsidP="005A2E01">
            <w:pPr>
              <w:jc w:val="center"/>
            </w:pPr>
            <w:r>
              <w:t>90</w:t>
            </w:r>
          </w:p>
        </w:tc>
      </w:tr>
      <w:tr w:rsidR="005A2E01" w14:paraId="13EBC7CE" w14:textId="77777777" w:rsidTr="005A2E01">
        <w:trPr>
          <w:trHeight w:val="517"/>
        </w:trPr>
        <w:tc>
          <w:tcPr>
            <w:tcW w:w="1555" w:type="dxa"/>
            <w:vMerge/>
            <w:tcBorders>
              <w:left w:val="single" w:sz="18" w:space="0" w:color="000000"/>
              <w:bottom w:val="single" w:sz="18" w:space="0" w:color="000000"/>
              <w:right w:val="single" w:sz="18" w:space="0" w:color="000000"/>
            </w:tcBorders>
          </w:tcPr>
          <w:p w14:paraId="2FAD2A12" w14:textId="77777777" w:rsidR="005A2E01" w:rsidRPr="00952A8D" w:rsidRDefault="005A2E01" w:rsidP="00952A8D">
            <w:pPr>
              <w:jc w:val="right"/>
              <w:rPr>
                <w:b/>
                <w:sz w:val="24"/>
              </w:rPr>
            </w:pPr>
          </w:p>
        </w:tc>
        <w:tc>
          <w:tcPr>
            <w:tcW w:w="4110" w:type="dxa"/>
            <w:tcBorders>
              <w:left w:val="single" w:sz="18" w:space="0" w:color="000000"/>
              <w:bottom w:val="single" w:sz="18" w:space="0" w:color="000000"/>
              <w:right w:val="single" w:sz="18" w:space="0" w:color="000000"/>
            </w:tcBorders>
          </w:tcPr>
          <w:p w14:paraId="2133D2A7" w14:textId="77777777" w:rsidR="005A2E01" w:rsidRDefault="00B978D9" w:rsidP="00952A8D">
            <w:pPr>
              <w:jc w:val="center"/>
            </w:pPr>
            <m:oMathPara>
              <m:oMath>
                <m:f>
                  <m:fPr>
                    <m:ctrlPr>
                      <w:rPr>
                        <w:rFonts w:ascii="Cambria Math" w:hAnsi="Cambria Math"/>
                        <w:i/>
                        <w:highlight w:val="yellow"/>
                      </w:rPr>
                    </m:ctrlPr>
                  </m:fPr>
                  <m:num>
                    <m:r>
                      <w:rPr>
                        <w:rFonts w:ascii="Cambria Math" w:hAnsi="Cambria Math"/>
                        <w:highlight w:val="yellow"/>
                      </w:rPr>
                      <m:t>100</m:t>
                    </m:r>
                  </m:num>
                  <m:den>
                    <m:r>
                      <w:rPr>
                        <w:rFonts w:ascii="Cambria Math" w:hAnsi="Cambria Math"/>
                        <w:highlight w:val="yellow"/>
                      </w:rPr>
                      <m:t>120</m:t>
                    </m:r>
                  </m:den>
                </m:f>
                <m:r>
                  <w:rPr>
                    <w:rFonts w:ascii="Cambria Math" w:hAnsi="Cambria Math"/>
                    <w:highlight w:val="yellow"/>
                  </w:rPr>
                  <m:t>=0,83</m:t>
                </m:r>
              </m:oMath>
            </m:oMathPara>
          </w:p>
        </w:tc>
        <w:tc>
          <w:tcPr>
            <w:tcW w:w="3828" w:type="dxa"/>
            <w:tcBorders>
              <w:left w:val="single" w:sz="18" w:space="0" w:color="000000"/>
              <w:bottom w:val="single" w:sz="18" w:space="0" w:color="000000"/>
              <w:right w:val="single" w:sz="18" w:space="0" w:color="000000"/>
            </w:tcBorders>
          </w:tcPr>
          <w:p w14:paraId="5C25098A" w14:textId="77777777" w:rsidR="005A2E01" w:rsidRDefault="00B978D9" w:rsidP="00952A8D">
            <w:pPr>
              <w:jc w:val="center"/>
            </w:pPr>
            <m:oMathPara>
              <m:oMath>
                <m:f>
                  <m:fPr>
                    <m:ctrlPr>
                      <w:rPr>
                        <w:rFonts w:ascii="Cambria Math" w:hAnsi="Cambria Math"/>
                        <w:i/>
                      </w:rPr>
                    </m:ctrlPr>
                  </m:fPr>
                  <m:num>
                    <m:r>
                      <w:rPr>
                        <w:rFonts w:ascii="Cambria Math" w:hAnsi="Cambria Math"/>
                      </w:rPr>
                      <m:t>90</m:t>
                    </m:r>
                  </m:num>
                  <m:den>
                    <m:r>
                      <w:rPr>
                        <w:rFonts w:ascii="Cambria Math" w:hAnsi="Cambria Math"/>
                      </w:rPr>
                      <m:t>80</m:t>
                    </m:r>
                  </m:den>
                </m:f>
                <m:r>
                  <w:rPr>
                    <w:rFonts w:ascii="Cambria Math" w:hAnsi="Cambria Math"/>
                  </w:rPr>
                  <m:t>=1,12</m:t>
                </m:r>
              </m:oMath>
            </m:oMathPara>
          </w:p>
        </w:tc>
      </w:tr>
      <w:tr w:rsidR="005A2E01" w14:paraId="6D94C885" w14:textId="77777777" w:rsidTr="005A2E01">
        <w:trPr>
          <w:trHeight w:val="316"/>
        </w:trPr>
        <w:tc>
          <w:tcPr>
            <w:tcW w:w="1555" w:type="dxa"/>
            <w:vMerge w:val="restart"/>
            <w:tcBorders>
              <w:top w:val="single" w:sz="18" w:space="0" w:color="000000"/>
              <w:left w:val="single" w:sz="18" w:space="0" w:color="000000"/>
              <w:right w:val="single" w:sz="18" w:space="0" w:color="000000"/>
            </w:tcBorders>
          </w:tcPr>
          <w:p w14:paraId="575CE70D" w14:textId="77777777" w:rsidR="005A2E01" w:rsidRPr="00952A8D" w:rsidRDefault="005A2E01" w:rsidP="00952A8D">
            <w:pPr>
              <w:jc w:val="right"/>
              <w:rPr>
                <w:b/>
                <w:sz w:val="24"/>
              </w:rPr>
            </w:pPr>
            <w:r w:rsidRPr="00952A8D">
              <w:rPr>
                <w:b/>
                <w:sz w:val="24"/>
              </w:rPr>
              <w:t>Vin</w:t>
            </w:r>
          </w:p>
        </w:tc>
        <w:tc>
          <w:tcPr>
            <w:tcW w:w="4110" w:type="dxa"/>
            <w:tcBorders>
              <w:top w:val="single" w:sz="18" w:space="0" w:color="000000"/>
              <w:left w:val="single" w:sz="18" w:space="0" w:color="000000"/>
              <w:right w:val="single" w:sz="18" w:space="0" w:color="000000"/>
            </w:tcBorders>
          </w:tcPr>
          <w:p w14:paraId="2218C6ED" w14:textId="77777777" w:rsidR="005A2E01" w:rsidRDefault="005A2E01" w:rsidP="005A2E01">
            <w:pPr>
              <w:jc w:val="center"/>
            </w:pPr>
            <w:r>
              <w:t>120</w:t>
            </w:r>
          </w:p>
        </w:tc>
        <w:tc>
          <w:tcPr>
            <w:tcW w:w="3828" w:type="dxa"/>
            <w:tcBorders>
              <w:top w:val="single" w:sz="18" w:space="0" w:color="000000"/>
              <w:left w:val="single" w:sz="18" w:space="0" w:color="000000"/>
              <w:right w:val="single" w:sz="18" w:space="0" w:color="000000"/>
            </w:tcBorders>
          </w:tcPr>
          <w:p w14:paraId="2B942679" w14:textId="77777777" w:rsidR="005A2E01" w:rsidRDefault="005A2E01" w:rsidP="005A2E01">
            <w:pPr>
              <w:jc w:val="center"/>
            </w:pPr>
            <w:r>
              <w:t>80</w:t>
            </w:r>
          </w:p>
        </w:tc>
      </w:tr>
      <w:tr w:rsidR="005A2E01" w14:paraId="31191ECF" w14:textId="77777777" w:rsidTr="005A2E01">
        <w:trPr>
          <w:trHeight w:val="517"/>
        </w:trPr>
        <w:tc>
          <w:tcPr>
            <w:tcW w:w="1555" w:type="dxa"/>
            <w:vMerge/>
            <w:tcBorders>
              <w:left w:val="single" w:sz="18" w:space="0" w:color="000000"/>
              <w:bottom w:val="single" w:sz="18" w:space="0" w:color="000000"/>
              <w:right w:val="single" w:sz="18" w:space="0" w:color="000000"/>
            </w:tcBorders>
          </w:tcPr>
          <w:p w14:paraId="7FDD8AFA" w14:textId="77777777" w:rsidR="005A2E01" w:rsidRPr="00952A8D" w:rsidRDefault="005A2E01" w:rsidP="00952A8D">
            <w:pPr>
              <w:jc w:val="right"/>
              <w:rPr>
                <w:b/>
                <w:sz w:val="24"/>
              </w:rPr>
            </w:pPr>
          </w:p>
        </w:tc>
        <w:tc>
          <w:tcPr>
            <w:tcW w:w="4110" w:type="dxa"/>
            <w:tcBorders>
              <w:left w:val="single" w:sz="18" w:space="0" w:color="000000"/>
              <w:bottom w:val="single" w:sz="18" w:space="0" w:color="000000"/>
              <w:right w:val="single" w:sz="18" w:space="0" w:color="000000"/>
            </w:tcBorders>
          </w:tcPr>
          <w:p w14:paraId="712991FA" w14:textId="77777777" w:rsidR="005A2E01" w:rsidRDefault="00B978D9" w:rsidP="00952A8D">
            <w:pPr>
              <w:jc w:val="center"/>
            </w:pPr>
            <m:oMathPara>
              <m:oMath>
                <m:f>
                  <m:fPr>
                    <m:ctrlPr>
                      <w:rPr>
                        <w:rFonts w:ascii="Cambria Math" w:hAnsi="Cambria Math"/>
                        <w:i/>
                      </w:rPr>
                    </m:ctrlPr>
                  </m:fPr>
                  <m:num>
                    <m:r>
                      <w:rPr>
                        <w:rFonts w:ascii="Cambria Math" w:hAnsi="Cambria Math"/>
                      </w:rPr>
                      <m:t>120</m:t>
                    </m:r>
                  </m:num>
                  <m:den>
                    <m:r>
                      <w:rPr>
                        <w:rFonts w:ascii="Cambria Math" w:hAnsi="Cambria Math"/>
                      </w:rPr>
                      <m:t>100</m:t>
                    </m:r>
                  </m:den>
                </m:f>
                <m:r>
                  <w:rPr>
                    <w:rFonts w:ascii="Cambria Math" w:hAnsi="Cambria Math"/>
                  </w:rPr>
                  <m:t>=1,2</m:t>
                </m:r>
              </m:oMath>
            </m:oMathPara>
          </w:p>
        </w:tc>
        <w:tc>
          <w:tcPr>
            <w:tcW w:w="3828" w:type="dxa"/>
            <w:tcBorders>
              <w:left w:val="single" w:sz="18" w:space="0" w:color="000000"/>
              <w:bottom w:val="single" w:sz="18" w:space="0" w:color="000000"/>
              <w:right w:val="single" w:sz="18" w:space="0" w:color="000000"/>
            </w:tcBorders>
          </w:tcPr>
          <w:p w14:paraId="62D21915" w14:textId="77777777" w:rsidR="005A2E01" w:rsidRDefault="00B978D9" w:rsidP="00952A8D">
            <w:pPr>
              <w:jc w:val="center"/>
            </w:pPr>
            <m:oMathPara>
              <m:oMath>
                <m:f>
                  <m:fPr>
                    <m:ctrlPr>
                      <w:rPr>
                        <w:rFonts w:ascii="Cambria Math" w:hAnsi="Cambria Math"/>
                        <w:i/>
                        <w:highlight w:val="yellow"/>
                      </w:rPr>
                    </m:ctrlPr>
                  </m:fPr>
                  <m:num>
                    <m:r>
                      <w:rPr>
                        <w:rFonts w:ascii="Cambria Math" w:hAnsi="Cambria Math"/>
                        <w:highlight w:val="yellow"/>
                      </w:rPr>
                      <m:t>80</m:t>
                    </m:r>
                  </m:num>
                  <m:den>
                    <m:r>
                      <w:rPr>
                        <w:rFonts w:ascii="Cambria Math" w:hAnsi="Cambria Math"/>
                        <w:highlight w:val="yellow"/>
                      </w:rPr>
                      <m:t>90</m:t>
                    </m:r>
                  </m:den>
                </m:f>
                <m:r>
                  <w:rPr>
                    <w:rFonts w:ascii="Cambria Math" w:hAnsi="Cambria Math"/>
                    <w:highlight w:val="yellow"/>
                  </w:rPr>
                  <m:t>=0,88</m:t>
                </m:r>
              </m:oMath>
            </m:oMathPara>
          </w:p>
        </w:tc>
      </w:tr>
    </w:tbl>
    <w:p w14:paraId="2BBFBF6C" w14:textId="77777777" w:rsidR="00C47546" w:rsidRPr="005A2E01" w:rsidRDefault="005A2E01" w:rsidP="00952A8D">
      <w:pPr>
        <w:jc w:val="both"/>
      </w:pPr>
      <w:r>
        <w:br/>
      </w:r>
      <w:r w:rsidRPr="005A2E01">
        <w:t xml:space="preserve">     Ricardo ne pense pas que ce soit en nombre de travailleurs qu’on décide de continuer ou d’arrêter une production. Mais il faut comparer nationalement, quelle est la production la plus efficace. Moins on est </w:t>
      </w:r>
      <w:r w:rsidRPr="005A2E01">
        <w:lastRenderedPageBreak/>
        <w:t>élevés et plus on est efficace</w:t>
      </w:r>
      <w:r w:rsidR="0024319E">
        <w:t>s</w:t>
      </w:r>
      <w:r w:rsidRPr="005A2E01">
        <w:t xml:space="preserve">. Ici, les Britanniques sont plus efficaces dans les draps et les portugais dans le vin. </w:t>
      </w:r>
    </w:p>
    <w:p w14:paraId="761F4C00" w14:textId="77777777" w:rsidR="005A2E01" w:rsidRDefault="005A2E01" w:rsidP="00952A8D">
      <w:pPr>
        <w:jc w:val="both"/>
      </w:pPr>
      <w:r>
        <w:t xml:space="preserve">     « Il faut calculer les avantages relatifs en faisant le rapport entre deux productions distinctes (draps et vin) et le pays se spécialisera là où l’avantage est le plus fort. » </w:t>
      </w:r>
    </w:p>
    <w:p w14:paraId="29B39DED" w14:textId="77777777" w:rsidR="005A2E01" w:rsidRDefault="005A2E01" w:rsidP="005A2E01">
      <w:pPr>
        <w:spacing w:after="0"/>
        <w:jc w:val="both"/>
      </w:pPr>
      <w:r w:rsidRPr="005A2E01">
        <w:rPr>
          <w:u w:val="single"/>
        </w:rPr>
        <w:t>CRITIQUE DE CETTE THEORIE</w:t>
      </w:r>
      <w:r>
        <w:t xml:space="preserve"> : </w:t>
      </w:r>
    </w:p>
    <w:p w14:paraId="6ABE65BC" w14:textId="77777777" w:rsidR="005A2E01" w:rsidRDefault="005A2E01" w:rsidP="0024319E">
      <w:pPr>
        <w:pStyle w:val="Paragraphedeliste"/>
        <w:numPr>
          <w:ilvl w:val="0"/>
          <w:numId w:val="30"/>
        </w:numPr>
        <w:spacing w:after="0"/>
        <w:ind w:left="0" w:firstLine="360"/>
        <w:jc w:val="both"/>
      </w:pPr>
      <w:r>
        <w:t>Aucun rapport avec la demande</w:t>
      </w:r>
      <w:r w:rsidR="0024319E">
        <w:t xml:space="preserve">. (Ce qui a de la valeur est le produit qui est demandé). </w:t>
      </w:r>
    </w:p>
    <w:p w14:paraId="2551D8EE" w14:textId="77777777" w:rsidR="0024319E" w:rsidRDefault="0024319E" w:rsidP="0024319E">
      <w:pPr>
        <w:pStyle w:val="Paragraphedeliste"/>
        <w:numPr>
          <w:ilvl w:val="0"/>
          <w:numId w:val="30"/>
        </w:numPr>
        <w:spacing w:after="0"/>
        <w:ind w:left="0" w:firstLine="360"/>
        <w:jc w:val="both"/>
      </w:pPr>
      <w:r>
        <w:t xml:space="preserve">Aucun rapport avec la qualité du produit. </w:t>
      </w:r>
    </w:p>
    <w:p w14:paraId="4FFBF10F" w14:textId="77777777" w:rsidR="0024319E" w:rsidRDefault="0024319E" w:rsidP="0024319E">
      <w:pPr>
        <w:pStyle w:val="Paragraphedeliste"/>
        <w:numPr>
          <w:ilvl w:val="0"/>
          <w:numId w:val="30"/>
        </w:numPr>
        <w:spacing w:after="0"/>
        <w:ind w:left="142" w:firstLine="218"/>
        <w:jc w:val="both"/>
      </w:pPr>
      <w:r>
        <w:t xml:space="preserve">Quand un pays se spécialise là où il a des avantages comparatifs, dépend aussi de la dégradation des termes de l’échange (prix, taux de change des monnaies, la différence d’inflation entre les pays, la situation géopolitique. </w:t>
      </w:r>
    </w:p>
    <w:p w14:paraId="0F5BBB0C" w14:textId="77777777" w:rsidR="00952A8D" w:rsidRPr="00C47546" w:rsidRDefault="00952A8D" w:rsidP="00952A8D">
      <w:pPr>
        <w:jc w:val="both"/>
      </w:pPr>
    </w:p>
    <w:p w14:paraId="4D2372BB" w14:textId="77777777" w:rsidR="00C47546" w:rsidRDefault="00C47546" w:rsidP="00952A8D">
      <w:pPr>
        <w:pStyle w:val="Titre1"/>
        <w:jc w:val="both"/>
      </w:pPr>
      <w:r>
        <w:t>LA THEORIE SUEDOISE DE LA DOTATION EN FACTEURS DE PRODUCTION</w:t>
      </w:r>
      <w:r w:rsidR="00340014">
        <w:t xml:space="preserve"> </w:t>
      </w:r>
    </w:p>
    <w:p w14:paraId="63F552B0" w14:textId="77777777" w:rsidR="00340014" w:rsidRDefault="00340014" w:rsidP="00340014">
      <w:r>
        <w:t xml:space="preserve">     C’est le théorème HO, de </w:t>
      </w:r>
      <w:proofErr w:type="spellStart"/>
      <w:r>
        <w:t>Heckscher</w:t>
      </w:r>
      <w:proofErr w:type="spellEnd"/>
      <w:r>
        <w:t xml:space="preserve"> Eli et Ohlin </w:t>
      </w:r>
      <w:proofErr w:type="spellStart"/>
      <w:r>
        <w:t>Bertil</w:t>
      </w:r>
      <w:proofErr w:type="spellEnd"/>
      <w:r>
        <w:t>. Ils cherchent d’où viennent les avantages comparatifs de Ricardo. L’origine vient de la répartition des facteurs de production, c’est-à-dire, qu’un pays qui aura un facteur de production abondant aura un coût plus faible pour ce facteur de production et il tirerait cet avantage pour exporter.</w:t>
      </w:r>
    </w:p>
    <w:p w14:paraId="55721336" w14:textId="77777777" w:rsidR="00340014" w:rsidRPr="00340014" w:rsidRDefault="00340014" w:rsidP="00340014">
      <w:pPr>
        <w:rPr>
          <w:i/>
        </w:rPr>
      </w:pPr>
      <w:r>
        <w:t xml:space="preserve">     </w:t>
      </w:r>
      <w:r>
        <w:rPr>
          <w:i/>
        </w:rPr>
        <w:t xml:space="preserve">Ex : la Grande-Bretagne est un pays avec beaucoup de main m’œuvre (pays très peuplé) et a aussi la technique et le savoir-faire </w:t>
      </w:r>
      <w:r w:rsidRPr="00340014">
        <w:rPr>
          <w:i/>
          <w:sz w:val="18"/>
        </w:rPr>
        <w:sym w:font="Wingdings" w:char="F0E0"/>
      </w:r>
      <w:r>
        <w:rPr>
          <w:i/>
        </w:rPr>
        <w:t xml:space="preserve"> Spécialisation dans les branches à forte intensité de main d’œuvre. Pour les Portugais, ils ont beaucoup de terre et de soleil ainsi que du savoir-faire </w:t>
      </w:r>
      <w:r w:rsidRPr="00340014">
        <w:rPr>
          <w:i/>
          <w:sz w:val="18"/>
        </w:rPr>
        <w:sym w:font="Wingdings" w:char="F0E0"/>
      </w:r>
      <w:r>
        <w:rPr>
          <w:i/>
        </w:rPr>
        <w:t xml:space="preserve"> Spécialisation dans l’agriculture. </w:t>
      </w:r>
      <w:r>
        <w:rPr>
          <w:i/>
        </w:rPr>
        <w:br/>
      </w:r>
    </w:p>
    <w:p w14:paraId="1457E054" w14:textId="77777777" w:rsidR="00340014" w:rsidRDefault="00340014" w:rsidP="00340014">
      <w:pPr>
        <w:spacing w:after="0"/>
        <w:jc w:val="both"/>
      </w:pPr>
      <w:r>
        <w:t xml:space="preserve">     </w:t>
      </w:r>
      <w:r w:rsidRPr="00340014">
        <w:rPr>
          <w:u w:val="single"/>
        </w:rPr>
        <w:t>LES CONSEQUENCES DE CETTE ANALYSE</w:t>
      </w:r>
      <w:r>
        <w:t xml:space="preserve"> : </w:t>
      </w:r>
    </w:p>
    <w:p w14:paraId="0A45A49A" w14:textId="77777777" w:rsidR="00C47546" w:rsidRDefault="00340014" w:rsidP="00340014">
      <w:pPr>
        <w:pStyle w:val="Paragraphedeliste"/>
        <w:numPr>
          <w:ilvl w:val="0"/>
          <w:numId w:val="30"/>
        </w:numPr>
        <w:spacing w:after="0"/>
        <w:jc w:val="both"/>
      </w:pPr>
      <w:r>
        <w:t xml:space="preserve">Il faut se spécialiser là où on a des facteurs de production important. </w:t>
      </w:r>
    </w:p>
    <w:p w14:paraId="2CC85042" w14:textId="77777777" w:rsidR="002B157E" w:rsidRPr="002B157E" w:rsidRDefault="00340014" w:rsidP="0043028D">
      <w:pPr>
        <w:pStyle w:val="Paragraphedeliste"/>
        <w:numPr>
          <w:ilvl w:val="0"/>
          <w:numId w:val="30"/>
        </w:numPr>
        <w:spacing w:after="0"/>
        <w:jc w:val="both"/>
        <w:rPr>
          <w:i/>
        </w:rPr>
      </w:pPr>
      <w:r>
        <w:t>Samuel Son, arrive pour créer le théorème HOS : à force d’échanger, on va avoir</w:t>
      </w:r>
      <w:r w:rsidR="002B157E">
        <w:t xml:space="preserve"> une in-égalisation des coûts de facteurs de production. </w:t>
      </w:r>
      <w:r w:rsidR="002B157E" w:rsidRPr="002B157E">
        <w:rPr>
          <w:i/>
        </w:rPr>
        <w:t>Ex : MOD dans le textile : Chinois de mieux en mieux payé</w:t>
      </w:r>
      <w:r w:rsidR="002B157E">
        <w:t xml:space="preserve"> </w:t>
      </w:r>
      <w:r w:rsidR="002B157E" w:rsidRPr="002B157E">
        <w:rPr>
          <w:i/>
        </w:rPr>
        <w:t xml:space="preserve">alors qu’il y a de moins en moins de salariés. </w:t>
      </w:r>
    </w:p>
    <w:p w14:paraId="1BBBC32E" w14:textId="77777777" w:rsidR="00C47546" w:rsidRPr="00C47546" w:rsidRDefault="00C47546" w:rsidP="00952A8D">
      <w:pPr>
        <w:jc w:val="both"/>
      </w:pPr>
    </w:p>
    <w:p w14:paraId="0D3B6EF7" w14:textId="77777777" w:rsidR="00C47546" w:rsidRDefault="00C47546" w:rsidP="00952A8D">
      <w:pPr>
        <w:pStyle w:val="Titre3"/>
        <w:jc w:val="both"/>
      </w:pPr>
      <w:r>
        <w:t>LES FLUX D’ECHANGES FACE AUX THEORIES</w:t>
      </w:r>
    </w:p>
    <w:p w14:paraId="3C1CB67F" w14:textId="77777777" w:rsidR="00C47546" w:rsidRDefault="00C47546" w:rsidP="00952A8D">
      <w:pPr>
        <w:pStyle w:val="Titre1"/>
        <w:numPr>
          <w:ilvl w:val="0"/>
          <w:numId w:val="28"/>
        </w:numPr>
        <w:jc w:val="both"/>
      </w:pPr>
      <w:r>
        <w:t>LES ECHANGES PROVENANT D’AVANTAGES COMPARATIFS</w:t>
      </w:r>
    </w:p>
    <w:p w14:paraId="34920BE4" w14:textId="77777777" w:rsidR="00C47546" w:rsidRDefault="00C47546" w:rsidP="00952A8D">
      <w:pPr>
        <w:pStyle w:val="Titre2"/>
        <w:jc w:val="both"/>
      </w:pPr>
      <w:r>
        <w:t>Les échanges intersectoriels et interbranches</w:t>
      </w:r>
    </w:p>
    <w:p w14:paraId="61DEF6ED" w14:textId="77777777" w:rsidR="00C47546" w:rsidRDefault="00C47546" w:rsidP="00952A8D">
      <w:pPr>
        <w:pStyle w:val="Titre4"/>
        <w:jc w:val="both"/>
      </w:pPr>
      <w:r>
        <w:t xml:space="preserve">Spécialisation sur les secteurs primaire, secondaire, tertiaire. </w:t>
      </w:r>
    </w:p>
    <w:p w14:paraId="41B3DEC7" w14:textId="77777777" w:rsidR="002B157E" w:rsidRPr="002B157E" w:rsidRDefault="002B157E" w:rsidP="002B157E">
      <w:r>
        <w:t xml:space="preserve">     Les pays en voie de développement ont des matières premières abondantes et les pays développés ont beaucoup de capital et de travail qualifié.</w:t>
      </w:r>
    </w:p>
    <w:p w14:paraId="2C765BB9" w14:textId="77777777" w:rsidR="002B157E" w:rsidRPr="00EC5AFC" w:rsidRDefault="00EC5AFC" w:rsidP="0043028D">
      <w:pPr>
        <w:pStyle w:val="Titre4"/>
        <w:jc w:val="both"/>
        <w:rPr>
          <w:sz w:val="20"/>
        </w:rPr>
      </w:pPr>
      <w:r>
        <w:t xml:space="preserve">Spécialisation par branche : </w:t>
      </w:r>
      <w:r w:rsidRPr="00EC5AFC">
        <w:rPr>
          <w:sz w:val="20"/>
        </w:rPr>
        <w:t>u</w:t>
      </w:r>
      <w:r w:rsidR="002B157E" w:rsidRPr="00EC5AFC">
        <w:rPr>
          <w:sz w:val="20"/>
        </w:rPr>
        <w:t>n certain nombre d’échanges industriels reposent sur une spécialisation des pays et notamment.</w:t>
      </w:r>
    </w:p>
    <w:p w14:paraId="53A9A378" w14:textId="77777777" w:rsidR="002B157E" w:rsidRPr="002B157E" w:rsidRDefault="002B157E" w:rsidP="002B157E">
      <w:r>
        <w:t xml:space="preserve">     </w:t>
      </w:r>
      <w:r w:rsidRPr="00EC5AFC">
        <w:rPr>
          <w:b/>
        </w:rPr>
        <w:t>DOC 1 :</w:t>
      </w:r>
      <w:r>
        <w:t xml:space="preserve"> on mesure l’impact des branches par le </w:t>
      </w:r>
      <m:oMath>
        <m:r>
          <w:rPr>
            <w:rFonts w:ascii="Cambria Math" w:hAnsi="Cambria Math"/>
          </w:rPr>
          <m:t>Taux de couverture=</m:t>
        </m:r>
        <m:f>
          <m:fPr>
            <m:ctrlPr>
              <w:rPr>
                <w:rFonts w:ascii="Cambria Math" w:hAnsi="Cambria Math"/>
                <w:i/>
              </w:rPr>
            </m:ctrlPr>
          </m:fPr>
          <m:num>
            <m:r>
              <w:rPr>
                <w:rFonts w:ascii="Cambria Math" w:hAnsi="Cambria Math"/>
              </w:rPr>
              <m:t>X</m:t>
            </m:r>
          </m:num>
          <m:den>
            <m:r>
              <w:rPr>
                <w:rFonts w:ascii="Cambria Math" w:hAnsi="Cambria Math"/>
              </w:rPr>
              <m:t>M</m:t>
            </m:r>
          </m:den>
        </m:f>
        <m:r>
          <w:rPr>
            <w:rFonts w:ascii="Cambria Math" w:hAnsi="Cambria Math"/>
          </w:rPr>
          <m:t> </m:t>
        </m:r>
      </m:oMath>
      <w:r w:rsidR="00EC5AFC">
        <w:rPr>
          <w:rFonts w:eastAsiaTheme="minorEastAsia"/>
        </w:rPr>
        <w:t>; avec</w:t>
      </w:r>
      <w:r>
        <w:t xml:space="preserve"> X pour les exportations et M pour les importations. On a : </w:t>
      </w:r>
      <w:r>
        <w:rPr>
          <w:rFonts w:eastAsiaTheme="minorEastAsia"/>
        </w:rPr>
        <w:t>il est inférieur à 80%</w:t>
      </w:r>
      <w:r w:rsidR="00EC5AFC">
        <w:rPr>
          <w:rFonts w:eastAsiaTheme="minorEastAsia"/>
        </w:rPr>
        <w:t>, on a une branche faible et s’</w:t>
      </w:r>
      <w:r>
        <w:rPr>
          <w:rFonts w:eastAsiaTheme="minorEastAsia"/>
        </w:rPr>
        <w:t xml:space="preserve">il est supérieur à 120%, on a une branche forte. 100% étant une égalité parfaite entre les exportations et les importations. </w:t>
      </w:r>
      <w:r w:rsidR="00EC5AFC">
        <w:rPr>
          <w:rFonts w:eastAsiaTheme="minorEastAsia"/>
        </w:rPr>
        <w:br/>
      </w:r>
    </w:p>
    <w:p w14:paraId="2DF11593" w14:textId="77777777" w:rsidR="00EC5AFC" w:rsidRDefault="00C47546" w:rsidP="0043028D">
      <w:pPr>
        <w:pStyle w:val="Titre4"/>
        <w:jc w:val="both"/>
      </w:pPr>
      <w:r>
        <w:t>S</w:t>
      </w:r>
      <w:r w:rsidR="00EC5AFC">
        <w:t xml:space="preserve">pécialisation et compétitivité : </w:t>
      </w:r>
      <w:r w:rsidR="00EC5AFC" w:rsidRPr="00EC5AFC">
        <w:rPr>
          <w:sz w:val="20"/>
        </w:rPr>
        <w:t>capacité d’un pays à gagner des parts de marché</w:t>
      </w:r>
      <w:r w:rsidR="00EC5AFC">
        <w:t>.</w:t>
      </w:r>
    </w:p>
    <w:p w14:paraId="14D58039" w14:textId="77777777" w:rsidR="00EC5AFC" w:rsidRDefault="00EC5AFC" w:rsidP="00EC5AFC">
      <w:r>
        <w:lastRenderedPageBreak/>
        <w:t xml:space="preserve">    </w:t>
      </w:r>
      <w:r w:rsidRPr="00EC5AFC">
        <w:rPr>
          <w:b/>
        </w:rPr>
        <w:t>DOC 2 :</w:t>
      </w:r>
      <w:r>
        <w:t xml:space="preserve"> les écarts de productivité prouve qu’on gagne des parts de marché (faire la même qualité avec moins de facteurs : productivité).</w:t>
      </w:r>
    </w:p>
    <w:p w14:paraId="5DA4B9B0" w14:textId="77777777" w:rsidR="00EC5AFC" w:rsidRDefault="00EC5AFC" w:rsidP="00EC5AFC">
      <w:r>
        <w:t>VOIR P2 : copier !!!</w:t>
      </w:r>
    </w:p>
    <w:p w14:paraId="13746A82" w14:textId="77777777" w:rsidR="00EC5AFC" w:rsidRDefault="00EC5AFC" w:rsidP="00EC5AFC">
      <w:r>
        <w:t xml:space="preserve">Les industriels, laboratoires, universités, centres de formation sont des concepts </w:t>
      </w:r>
    </w:p>
    <w:p w14:paraId="7426C155" w14:textId="77777777" w:rsidR="00C47546" w:rsidRDefault="00C47546" w:rsidP="00952A8D">
      <w:pPr>
        <w:pStyle w:val="Titre2"/>
        <w:jc w:val="both"/>
      </w:pPr>
      <w:r>
        <w:t xml:space="preserve">Evolution des avantages comparatifs. </w:t>
      </w:r>
    </w:p>
    <w:p w14:paraId="0DD3DE5B" w14:textId="77777777" w:rsidR="00C47546" w:rsidRDefault="00EC5AFC" w:rsidP="00952A8D">
      <w:pPr>
        <w:pStyle w:val="Titre4"/>
        <w:jc w:val="both"/>
      </w:pPr>
      <w:r>
        <w:t xml:space="preserve">La quantité de facteurs. </w:t>
      </w:r>
    </w:p>
    <w:p w14:paraId="140601EF" w14:textId="77777777" w:rsidR="00EC5AFC" w:rsidRDefault="00EC5AFC" w:rsidP="00EC5AFC">
      <w:pPr>
        <w:rPr>
          <w:i/>
        </w:rPr>
      </w:pPr>
      <w:r>
        <w:t xml:space="preserve">     Il y a une </w:t>
      </w:r>
      <w:r w:rsidRPr="00EC5AFC">
        <w:rPr>
          <w:b/>
        </w:rPr>
        <w:t>évolution</w:t>
      </w:r>
      <w:r>
        <w:t xml:space="preserve"> dans les pays, de la </w:t>
      </w:r>
      <w:r w:rsidRPr="0028408F">
        <w:rPr>
          <w:b/>
        </w:rPr>
        <w:t>quantité de facteurs de production</w:t>
      </w:r>
      <w:r>
        <w:t xml:space="preserve">. </w:t>
      </w:r>
      <w:r>
        <w:rPr>
          <w:i/>
        </w:rPr>
        <w:t xml:space="preserve">Ex : quantité de travail qui diminue du au vieillissement de la population donc il y a des problèmes de facteurs de production et étant très protectionnistes (pas d’immigration). </w:t>
      </w:r>
    </w:p>
    <w:p w14:paraId="4584DC21" w14:textId="77777777" w:rsidR="00EC5AFC" w:rsidRDefault="00EC5AFC" w:rsidP="00EC5AFC">
      <w:r>
        <w:rPr>
          <w:i/>
        </w:rPr>
        <w:t xml:space="preserve">     </w:t>
      </w:r>
      <w:r>
        <w:t xml:space="preserve">Il y a aussi une </w:t>
      </w:r>
      <w:r w:rsidRPr="0028408F">
        <w:rPr>
          <w:b/>
        </w:rPr>
        <w:t xml:space="preserve">évolution </w:t>
      </w:r>
      <w:r w:rsidR="0028408F" w:rsidRPr="0028408F">
        <w:rPr>
          <w:b/>
        </w:rPr>
        <w:t>remarquable</w:t>
      </w:r>
      <w:r w:rsidRPr="0028408F">
        <w:rPr>
          <w:b/>
        </w:rPr>
        <w:t xml:space="preserve"> des capitaux</w:t>
      </w:r>
      <w:r>
        <w:t xml:space="preserve">, qui fait que les pays qui n’avaient pas les moyens d’investir peuvent désormais. </w:t>
      </w:r>
      <w:r>
        <w:rPr>
          <w:i/>
        </w:rPr>
        <w:t>Ex : Hongrie, Slovaquie.</w:t>
      </w:r>
      <w:r w:rsidR="0028408F">
        <w:t xml:space="preserve"> Cela amène des capitaux et des transferts de technologie vers les pays de l’est. </w:t>
      </w:r>
    </w:p>
    <w:p w14:paraId="14FDC192" w14:textId="77777777" w:rsidR="0028408F" w:rsidRPr="00EC5AFC" w:rsidRDefault="0028408F" w:rsidP="00EC5AFC">
      <w:r>
        <w:t xml:space="preserve">     La </w:t>
      </w:r>
      <w:r w:rsidRPr="0028408F">
        <w:rPr>
          <w:b/>
        </w:rPr>
        <w:t>découverte de nouvelles ressources naturelles</w:t>
      </w:r>
      <w:r>
        <w:t xml:space="preserve"> et </w:t>
      </w:r>
      <w:r w:rsidRPr="0028408F">
        <w:rPr>
          <w:b/>
        </w:rPr>
        <w:t>épuisement</w:t>
      </w:r>
      <w:r>
        <w:t xml:space="preserve"> d’autres. </w:t>
      </w:r>
      <w:r>
        <w:rPr>
          <w:i/>
        </w:rPr>
        <w:t xml:space="preserve">Ex : gaz de schiste (facteur éboulement du baril de pétrole). </w:t>
      </w:r>
      <w:r>
        <w:t xml:space="preserve">Cela change la donne internationale. </w:t>
      </w:r>
    </w:p>
    <w:p w14:paraId="65F7C0E0" w14:textId="77777777" w:rsidR="00EC5AFC" w:rsidRPr="00EC5AFC" w:rsidRDefault="00EC5AFC" w:rsidP="00EC5AFC"/>
    <w:p w14:paraId="6CAF2C1C" w14:textId="77777777" w:rsidR="00C47546" w:rsidRDefault="00C47546" w:rsidP="00952A8D">
      <w:pPr>
        <w:pStyle w:val="Titre4"/>
        <w:jc w:val="both"/>
      </w:pPr>
      <w:r>
        <w:t xml:space="preserve">Egalisation du prix des facteurs. </w:t>
      </w:r>
    </w:p>
    <w:p w14:paraId="173C2D1A" w14:textId="77777777" w:rsidR="00C47546" w:rsidRDefault="0028408F" w:rsidP="0028408F">
      <w:r>
        <w:t xml:space="preserve">     C’est l’augmentation du prix du travail dans les pays qui ont développés les secteurs traditionnels (textile, acier. </w:t>
      </w:r>
      <w:r>
        <w:rPr>
          <w:i/>
        </w:rPr>
        <w:t>Ex : Chine ou en France (</w:t>
      </w:r>
      <w:r w:rsidRPr="0028408F">
        <w:rPr>
          <w:i/>
        </w:rPr>
        <w:t>dans la part des consommations des ménages, le textile a baissé parce qu’on vit sur des coûts très bas, comme l’</w:t>
      </w:r>
      <w:r>
        <w:rPr>
          <w:i/>
        </w:rPr>
        <w:t xml:space="preserve">alimentaire). </w:t>
      </w:r>
    </w:p>
    <w:p w14:paraId="7A9B0CE4" w14:textId="77777777" w:rsidR="0028408F" w:rsidRPr="00C47546" w:rsidRDefault="0028408F" w:rsidP="0028408F"/>
    <w:p w14:paraId="294A8DDA" w14:textId="77777777" w:rsidR="00C47546" w:rsidRPr="00C47546" w:rsidRDefault="00C47546" w:rsidP="00952A8D">
      <w:pPr>
        <w:pStyle w:val="Titre1"/>
        <w:jc w:val="both"/>
      </w:pPr>
      <w:r>
        <w:t>LE PARADOXE DES ECHANGES</w:t>
      </w:r>
    </w:p>
    <w:p w14:paraId="2C30A3F6" w14:textId="77777777" w:rsidR="00E3599E" w:rsidRDefault="00C47546" w:rsidP="00952A8D">
      <w:pPr>
        <w:pStyle w:val="Titre4"/>
        <w:jc w:val="both"/>
      </w:pPr>
      <w:r>
        <w:t xml:space="preserve">Le paradoxe de </w:t>
      </w:r>
      <w:proofErr w:type="spellStart"/>
      <w:r>
        <w:t>Léontief</w:t>
      </w:r>
      <w:proofErr w:type="spellEnd"/>
      <w:r>
        <w:t xml:space="preserve">. </w:t>
      </w:r>
    </w:p>
    <w:p w14:paraId="610EDDF2" w14:textId="77777777" w:rsidR="0028408F" w:rsidRDefault="0028408F" w:rsidP="0028408F">
      <w:pPr>
        <w:rPr>
          <w:rFonts w:eastAsiaTheme="minorEastAsia"/>
        </w:rPr>
      </w:pPr>
      <w:r>
        <w:t xml:space="preserve">     Il s’est aperçu dans les années 50 pour les  </w:t>
      </w:r>
      <m:oMath>
        <m:r>
          <w:rPr>
            <w:rFonts w:ascii="Cambria Math" w:hAnsi="Cambria Math"/>
          </w:rPr>
          <m:t>X</m:t>
        </m:r>
        <m:d>
          <m:dPr>
            <m:ctrlPr>
              <w:rPr>
                <w:rFonts w:ascii="Cambria Math" w:hAnsi="Cambria Math"/>
                <w:i/>
              </w:rPr>
            </m:ctrlPr>
          </m:dPr>
          <m:e>
            <m:r>
              <w:rPr>
                <w:rFonts w:ascii="Cambria Math" w:hAnsi="Cambria Math"/>
              </w:rPr>
              <m:t>exportations</m:t>
            </m:r>
          </m:e>
        </m:d>
        <m:r>
          <w:rPr>
            <w:rFonts w:ascii="Cambria Math" w:hAnsi="Cambria Math"/>
          </w:rPr>
          <m:t xml:space="preserve">= </m:t>
        </m:r>
        <m:f>
          <m:fPr>
            <m:ctrlPr>
              <w:rPr>
                <w:rFonts w:ascii="Cambria Math" w:hAnsi="Cambria Math"/>
                <w:i/>
              </w:rPr>
            </m:ctrlPr>
          </m:fPr>
          <m:num>
            <m:r>
              <w:rPr>
                <w:rFonts w:ascii="Cambria Math" w:hAnsi="Cambria Math"/>
              </w:rPr>
              <m:t>K (capital)</m:t>
            </m:r>
          </m:num>
          <m:den>
            <m:r>
              <w:rPr>
                <w:rFonts w:ascii="Cambria Math" w:hAnsi="Cambria Math"/>
              </w:rPr>
              <m:t>W (travail)</m:t>
            </m:r>
          </m:den>
        </m:f>
        <m:r>
          <w:rPr>
            <w:rFonts w:ascii="Cambria Math" w:hAnsi="Cambria Math"/>
          </w:rPr>
          <m:t>=14</m:t>
        </m:r>
      </m:oMath>
      <w:r>
        <w:rPr>
          <w:rFonts w:eastAsiaTheme="minorEastAsia"/>
        </w:rPr>
        <w:t xml:space="preserve"> et </w:t>
      </w:r>
      <w:r>
        <w:t xml:space="preserve">pour </w:t>
      </w:r>
      <w:proofErr w:type="gramStart"/>
      <w:r>
        <w:t xml:space="preserve">les </w:t>
      </w:r>
      <w:proofErr w:type="gramEnd"/>
      <m:oMath>
        <m:r>
          <w:rPr>
            <w:rFonts w:ascii="Cambria Math" w:hAnsi="Cambria Math"/>
          </w:rPr>
          <m:t xml:space="preserve">M (importations)= </m:t>
        </m:r>
        <m:f>
          <m:fPr>
            <m:ctrlPr>
              <w:rPr>
                <w:rFonts w:ascii="Cambria Math" w:hAnsi="Cambria Math"/>
                <w:i/>
              </w:rPr>
            </m:ctrlPr>
          </m:fPr>
          <m:num>
            <m:r>
              <w:rPr>
                <w:rFonts w:ascii="Cambria Math" w:hAnsi="Cambria Math"/>
              </w:rPr>
              <m:t>K (capital)</m:t>
            </m:r>
          </m:num>
          <m:den>
            <m:r>
              <w:rPr>
                <w:rFonts w:ascii="Cambria Math" w:hAnsi="Cambria Math"/>
              </w:rPr>
              <m:t>W (travail)</m:t>
            </m:r>
          </m:den>
        </m:f>
        <m:r>
          <w:rPr>
            <w:rFonts w:ascii="Cambria Math" w:hAnsi="Cambria Math"/>
          </w:rPr>
          <m:t>=18</m:t>
        </m:r>
      </m:oMath>
      <w:r>
        <w:rPr>
          <w:rFonts w:eastAsiaTheme="minorEastAsia"/>
        </w:rPr>
        <w:t xml:space="preserve">, pour les USA. </w:t>
      </w:r>
    </w:p>
    <w:p w14:paraId="126574FE" w14:textId="77777777" w:rsidR="0028408F" w:rsidRDefault="0028408F" w:rsidP="0028408F">
      <w:pPr>
        <w:rPr>
          <w:rFonts w:eastAsiaTheme="minorEastAsia"/>
        </w:rPr>
      </w:pPr>
      <w:r>
        <w:rPr>
          <w:rFonts w:eastAsiaTheme="minorEastAsia"/>
        </w:rPr>
        <w:t xml:space="preserve">     Les exportations contiennent plus de travail que les importations. Normalement, ils devraient exporter des produits à plus forte intensité capitalistique. </w:t>
      </w:r>
      <w:r>
        <w:rPr>
          <w:rFonts w:eastAsiaTheme="minorEastAsia"/>
          <w:i/>
        </w:rPr>
        <w:t xml:space="preserve">Ex : plutôt machine à outil que textile. </w:t>
      </w:r>
      <w:r>
        <w:rPr>
          <w:rFonts w:eastAsiaTheme="minorEastAsia"/>
          <w:i/>
        </w:rPr>
        <w:br/>
      </w:r>
      <w:r>
        <w:rPr>
          <w:rFonts w:eastAsiaTheme="minorEastAsia"/>
        </w:rPr>
        <w:t>Pour lui, le travail aux USA est plus efficace car mieux organisé avec d</w:t>
      </w:r>
      <w:r w:rsidR="006C5F68">
        <w:rPr>
          <w:rFonts w:eastAsiaTheme="minorEastAsia"/>
        </w:rPr>
        <w:t xml:space="preserve">es travailleurs plus qualifiés et plus structuré, donc on a moins besoin de capitaux. </w:t>
      </w:r>
    </w:p>
    <w:p w14:paraId="5945F336" w14:textId="77777777" w:rsidR="006C5F68" w:rsidRPr="0028408F" w:rsidRDefault="006C5F68" w:rsidP="0028408F"/>
    <w:p w14:paraId="6B904EA2" w14:textId="77777777" w:rsidR="00C47546" w:rsidRDefault="00C47546" w:rsidP="00952A8D">
      <w:pPr>
        <w:pStyle w:val="Titre4"/>
        <w:jc w:val="both"/>
      </w:pPr>
      <w:r>
        <w:t xml:space="preserve">Les échanges croisés. </w:t>
      </w:r>
    </w:p>
    <w:p w14:paraId="1A258BE6" w14:textId="77777777" w:rsidR="006C5F68" w:rsidRPr="0043028D" w:rsidRDefault="0043028D" w:rsidP="006C5F68">
      <w:pPr>
        <w:rPr>
          <w:i/>
        </w:rPr>
      </w:pPr>
      <w:r>
        <w:rPr>
          <w:i/>
        </w:rPr>
        <w:t xml:space="preserve"> </w:t>
      </w:r>
    </w:p>
    <w:sectPr w:rsidR="006C5F68" w:rsidRPr="0043028D" w:rsidSect="00BC1070">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7B336" w14:textId="77777777" w:rsidR="00B978D9" w:rsidRDefault="00B978D9" w:rsidP="001A5896">
      <w:pPr>
        <w:spacing w:after="0" w:line="240" w:lineRule="auto"/>
      </w:pPr>
      <w:r>
        <w:separator/>
      </w:r>
    </w:p>
  </w:endnote>
  <w:endnote w:type="continuationSeparator" w:id="0">
    <w:p w14:paraId="1A4A7A75" w14:textId="77777777" w:rsidR="00B978D9" w:rsidRDefault="00B978D9" w:rsidP="001A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B72BE" w14:textId="77777777" w:rsidR="00850070" w:rsidRDefault="008500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C1DEE" w14:textId="77777777" w:rsidR="0043028D" w:rsidRDefault="0043028D">
    <w:pPr>
      <w:pStyle w:val="Pieddepage"/>
    </w:pPr>
    <w:r>
      <w:tab/>
    </w:r>
    <w:r>
      <w:tab/>
    </w:r>
    <w:r>
      <w:rPr>
        <w:color w:val="7F7F7F" w:themeColor="background1" w:themeShade="7F"/>
        <w:spacing w:val="60"/>
      </w:rPr>
      <w:t>Page</w:t>
    </w:r>
    <w:r>
      <w:t xml:space="preserve"> | </w:t>
    </w:r>
    <w:r>
      <w:fldChar w:fldCharType="begin"/>
    </w:r>
    <w:r>
      <w:instrText>PAGE   \* MERGEFORMAT</w:instrText>
    </w:r>
    <w:r>
      <w:fldChar w:fldCharType="separate"/>
    </w:r>
    <w:r w:rsidR="00850070" w:rsidRPr="00850070">
      <w:rPr>
        <w:b/>
        <w:bCs/>
        <w:noProof/>
      </w:rPr>
      <w:t>1</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7BC5C" w14:textId="77777777" w:rsidR="00850070" w:rsidRDefault="008500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9F8C2" w14:textId="77777777" w:rsidR="00B978D9" w:rsidRDefault="00B978D9" w:rsidP="001A5896">
      <w:pPr>
        <w:spacing w:after="0" w:line="240" w:lineRule="auto"/>
      </w:pPr>
      <w:r>
        <w:separator/>
      </w:r>
    </w:p>
  </w:footnote>
  <w:footnote w:type="continuationSeparator" w:id="0">
    <w:p w14:paraId="3DF3AFAD" w14:textId="77777777" w:rsidR="00B978D9" w:rsidRDefault="00B978D9" w:rsidP="001A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B9380" w14:textId="77777777" w:rsidR="00850070" w:rsidRDefault="0085007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B210" w14:textId="0377B2BE" w:rsidR="00376B72" w:rsidRDefault="00850070">
    <w:pPr>
      <w:pStyle w:val="En-tte"/>
    </w:pPr>
    <w:bookmarkStart w:id="0" w:name="_GoBack"/>
    <w:r>
      <w:rPr>
        <w:noProof/>
        <w:lang w:eastAsia="fr-FR"/>
      </w:rPr>
      <w:drawing>
        <wp:anchor distT="0" distB="0" distL="114300" distR="114300" simplePos="0" relativeHeight="251658240" behindDoc="0" locked="0" layoutInCell="1" allowOverlap="1" wp14:anchorId="115D121F" wp14:editId="279CBF73">
          <wp:simplePos x="0" y="0"/>
          <wp:positionH relativeFrom="column">
            <wp:posOffset>5924550</wp:posOffset>
          </wp:positionH>
          <wp:positionV relativeFrom="paragraph">
            <wp:posOffset>-428625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F9F65" w14:textId="77777777" w:rsidR="00850070" w:rsidRDefault="008500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C77"/>
    <w:multiLevelType w:val="hybridMultilevel"/>
    <w:tmpl w:val="B3E02DFC"/>
    <w:lvl w:ilvl="0" w:tplc="0158C7E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A5496A"/>
    <w:multiLevelType w:val="hybridMultilevel"/>
    <w:tmpl w:val="72127CB4"/>
    <w:lvl w:ilvl="0" w:tplc="CB4E271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C2E6E91"/>
    <w:multiLevelType w:val="hybridMultilevel"/>
    <w:tmpl w:val="8A1820C8"/>
    <w:lvl w:ilvl="0" w:tplc="CF6CD9F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A0780"/>
    <w:multiLevelType w:val="hybridMultilevel"/>
    <w:tmpl w:val="D87A39E8"/>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504FCB"/>
    <w:multiLevelType w:val="hybridMultilevel"/>
    <w:tmpl w:val="93B88D54"/>
    <w:lvl w:ilvl="0" w:tplc="41DE3DDC">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nsid w:val="11756E4E"/>
    <w:multiLevelType w:val="hybridMultilevel"/>
    <w:tmpl w:val="D45A2F30"/>
    <w:lvl w:ilvl="0" w:tplc="9F4212B4">
      <w:start w:val="1"/>
      <w:numFmt w:val="bullet"/>
      <w:pStyle w:val="Titre4"/>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A4DB6"/>
    <w:multiLevelType w:val="hybridMultilevel"/>
    <w:tmpl w:val="1A18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F206A0"/>
    <w:multiLevelType w:val="hybridMultilevel"/>
    <w:tmpl w:val="44E80F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534D11"/>
    <w:multiLevelType w:val="hybridMultilevel"/>
    <w:tmpl w:val="C1324E74"/>
    <w:lvl w:ilvl="0" w:tplc="FE1AB84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FB5BFC"/>
    <w:multiLevelType w:val="hybridMultilevel"/>
    <w:tmpl w:val="91748C80"/>
    <w:lvl w:ilvl="0" w:tplc="41E414B4">
      <w:start w:val="1"/>
      <w:numFmt w:val="upperRoman"/>
      <w:pStyle w:val="Titre3"/>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F6428B"/>
    <w:multiLevelType w:val="hybridMultilevel"/>
    <w:tmpl w:val="C024A7F0"/>
    <w:lvl w:ilvl="0" w:tplc="E534997C">
      <w:start w:val="1"/>
      <w:numFmt w:val="upperLetter"/>
      <w:pStyle w:val="Titre1"/>
      <w:lvlText w:val="%1."/>
      <w:lvlJc w:val="left"/>
      <w:pPr>
        <w:ind w:left="720" w:hanging="360"/>
      </w:pPr>
      <w:rPr>
        <w:rFonts w:hint="default"/>
      </w:rPr>
    </w:lvl>
    <w:lvl w:ilvl="1" w:tplc="070E255E">
      <w:start w:val="1"/>
      <w:numFmt w:val="lowerLetter"/>
      <w:pStyle w:val="Titre2"/>
      <w:lvlText w:val="%2."/>
      <w:lvlJc w:val="left"/>
      <w:pPr>
        <w:ind w:left="1440" w:hanging="360"/>
      </w:pPr>
    </w:lvl>
    <w:lvl w:ilvl="2" w:tplc="574EC2C2">
      <w:start w:val="3"/>
      <w:numFmt w:val="bullet"/>
      <w:lvlText w:val=""/>
      <w:lvlJc w:val="left"/>
      <w:pPr>
        <w:ind w:left="2340" w:hanging="360"/>
      </w:pPr>
      <w:rPr>
        <w:rFonts w:ascii="Wingdings" w:eastAsiaTheme="minorHAnsi" w:hAnsi="Wingdings"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981BE2"/>
    <w:multiLevelType w:val="hybridMultilevel"/>
    <w:tmpl w:val="095679C2"/>
    <w:lvl w:ilvl="0" w:tplc="F02EA74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FB86E47"/>
    <w:multiLevelType w:val="hybridMultilevel"/>
    <w:tmpl w:val="60CE16FE"/>
    <w:lvl w:ilvl="0" w:tplc="A09620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2175A5"/>
    <w:multiLevelType w:val="hybridMultilevel"/>
    <w:tmpl w:val="47B2D24C"/>
    <w:lvl w:ilvl="0" w:tplc="E0C689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DF693D"/>
    <w:multiLevelType w:val="hybridMultilevel"/>
    <w:tmpl w:val="7C6223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A5453F"/>
    <w:multiLevelType w:val="hybridMultilevel"/>
    <w:tmpl w:val="9BCC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BD5B12"/>
    <w:multiLevelType w:val="hybridMultilevel"/>
    <w:tmpl w:val="2A34712A"/>
    <w:lvl w:ilvl="0" w:tplc="BD144B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C17AA6"/>
    <w:multiLevelType w:val="hybridMultilevel"/>
    <w:tmpl w:val="669A8A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2121EA7"/>
    <w:multiLevelType w:val="hybridMultilevel"/>
    <w:tmpl w:val="39F84AB2"/>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F978EF"/>
    <w:multiLevelType w:val="hybridMultilevel"/>
    <w:tmpl w:val="6164AF70"/>
    <w:lvl w:ilvl="0" w:tplc="408807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CF13A5"/>
    <w:multiLevelType w:val="hybridMultilevel"/>
    <w:tmpl w:val="2BE44ED8"/>
    <w:lvl w:ilvl="0" w:tplc="EFEE245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287852"/>
    <w:multiLevelType w:val="hybridMultilevel"/>
    <w:tmpl w:val="CDDCEC5E"/>
    <w:lvl w:ilvl="0" w:tplc="B51EE2A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772D3C8B"/>
    <w:multiLevelType w:val="hybridMultilevel"/>
    <w:tmpl w:val="A81CA67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B26AAE"/>
    <w:multiLevelType w:val="hybridMultilevel"/>
    <w:tmpl w:val="3C3C3B3A"/>
    <w:lvl w:ilvl="0" w:tplc="EA1257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7"/>
  </w:num>
  <w:num w:numId="4">
    <w:abstractNumId w:val="3"/>
  </w:num>
  <w:num w:numId="5">
    <w:abstractNumId w:val="15"/>
  </w:num>
  <w:num w:numId="6">
    <w:abstractNumId w:val="10"/>
  </w:num>
  <w:num w:numId="7">
    <w:abstractNumId w:val="5"/>
  </w:num>
  <w:num w:numId="8">
    <w:abstractNumId w:val="8"/>
  </w:num>
  <w:num w:numId="9">
    <w:abstractNumId w:val="16"/>
  </w:num>
  <w:num w:numId="10">
    <w:abstractNumId w:val="13"/>
  </w:num>
  <w:num w:numId="11">
    <w:abstractNumId w:val="23"/>
  </w:num>
  <w:num w:numId="12">
    <w:abstractNumId w:val="7"/>
  </w:num>
  <w:num w:numId="13">
    <w:abstractNumId w:val="6"/>
  </w:num>
  <w:num w:numId="14">
    <w:abstractNumId w:val="22"/>
  </w:num>
  <w:num w:numId="15">
    <w:abstractNumId w:val="10"/>
    <w:lvlOverride w:ilvl="0">
      <w:startOverride w:val="1"/>
    </w:lvlOverride>
  </w:num>
  <w:num w:numId="16">
    <w:abstractNumId w:val="10"/>
    <w:lvlOverride w:ilvl="0">
      <w:startOverride w:val="1"/>
    </w:lvlOverride>
  </w:num>
  <w:num w:numId="17">
    <w:abstractNumId w:val="14"/>
  </w:num>
  <w:num w:numId="18">
    <w:abstractNumId w:val="9"/>
    <w:lvlOverride w:ilvl="0">
      <w:startOverride w:val="1"/>
    </w:lvlOverride>
  </w:num>
  <w:num w:numId="19">
    <w:abstractNumId w:val="9"/>
    <w:lvlOverride w:ilvl="0">
      <w:startOverride w:val="1"/>
    </w:lvlOverride>
  </w:num>
  <w:num w:numId="20">
    <w:abstractNumId w:val="11"/>
  </w:num>
  <w:num w:numId="21">
    <w:abstractNumId w:val="4"/>
  </w:num>
  <w:num w:numId="22">
    <w:abstractNumId w:val="19"/>
  </w:num>
  <w:num w:numId="23">
    <w:abstractNumId w:val="12"/>
  </w:num>
  <w:num w:numId="24">
    <w:abstractNumId w:val="2"/>
  </w:num>
  <w:num w:numId="25">
    <w:abstractNumId w:val="9"/>
    <w:lvlOverride w:ilvl="0">
      <w:startOverride w:val="1"/>
    </w:lvlOverride>
  </w:num>
  <w:num w:numId="26">
    <w:abstractNumId w:val="21"/>
  </w:num>
  <w:num w:numId="27">
    <w:abstractNumId w:val="1"/>
  </w:num>
  <w:num w:numId="28">
    <w:abstractNumId w:val="10"/>
    <w:lvlOverride w:ilvl="0">
      <w:startOverride w:val="1"/>
    </w:lvlOverride>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0E"/>
    <w:rsid w:val="00006D55"/>
    <w:rsid w:val="00030E1D"/>
    <w:rsid w:val="0003760C"/>
    <w:rsid w:val="00043E9A"/>
    <w:rsid w:val="00053D3B"/>
    <w:rsid w:val="00093EE1"/>
    <w:rsid w:val="000E09B5"/>
    <w:rsid w:val="00112282"/>
    <w:rsid w:val="001A5896"/>
    <w:rsid w:val="001A7619"/>
    <w:rsid w:val="001B6ACC"/>
    <w:rsid w:val="001C4635"/>
    <w:rsid w:val="0024319E"/>
    <w:rsid w:val="00245972"/>
    <w:rsid w:val="0028408F"/>
    <w:rsid w:val="002A2CC4"/>
    <w:rsid w:val="002B157E"/>
    <w:rsid w:val="002C5ACE"/>
    <w:rsid w:val="002D5D74"/>
    <w:rsid w:val="003031E8"/>
    <w:rsid w:val="0033500E"/>
    <w:rsid w:val="00340014"/>
    <w:rsid w:val="00346DFD"/>
    <w:rsid w:val="00376B72"/>
    <w:rsid w:val="00383C13"/>
    <w:rsid w:val="004017F6"/>
    <w:rsid w:val="004152DB"/>
    <w:rsid w:val="0043028D"/>
    <w:rsid w:val="004412B6"/>
    <w:rsid w:val="00480343"/>
    <w:rsid w:val="0058643B"/>
    <w:rsid w:val="0059706B"/>
    <w:rsid w:val="005A2E01"/>
    <w:rsid w:val="005C5EFE"/>
    <w:rsid w:val="005D15D0"/>
    <w:rsid w:val="006B7719"/>
    <w:rsid w:val="006C5F68"/>
    <w:rsid w:val="0075043B"/>
    <w:rsid w:val="0075270D"/>
    <w:rsid w:val="007739B9"/>
    <w:rsid w:val="00792482"/>
    <w:rsid w:val="007F2234"/>
    <w:rsid w:val="00820662"/>
    <w:rsid w:val="0083635A"/>
    <w:rsid w:val="00850070"/>
    <w:rsid w:val="009272AE"/>
    <w:rsid w:val="00952A8D"/>
    <w:rsid w:val="00966FDF"/>
    <w:rsid w:val="00991E79"/>
    <w:rsid w:val="009B3EB8"/>
    <w:rsid w:val="009E2453"/>
    <w:rsid w:val="00A575B6"/>
    <w:rsid w:val="00AF3FA8"/>
    <w:rsid w:val="00B078C5"/>
    <w:rsid w:val="00B24ED1"/>
    <w:rsid w:val="00B82A55"/>
    <w:rsid w:val="00B9671E"/>
    <w:rsid w:val="00B978D9"/>
    <w:rsid w:val="00BC1070"/>
    <w:rsid w:val="00BC63AA"/>
    <w:rsid w:val="00BF5CE5"/>
    <w:rsid w:val="00C1027A"/>
    <w:rsid w:val="00C17D36"/>
    <w:rsid w:val="00C44E39"/>
    <w:rsid w:val="00C47546"/>
    <w:rsid w:val="00C56042"/>
    <w:rsid w:val="00DA79DD"/>
    <w:rsid w:val="00DC0BAE"/>
    <w:rsid w:val="00DE4BEC"/>
    <w:rsid w:val="00E3599E"/>
    <w:rsid w:val="00E8625F"/>
    <w:rsid w:val="00EC5AFC"/>
    <w:rsid w:val="00EE5D4F"/>
    <w:rsid w:val="00EF5917"/>
    <w:rsid w:val="00F93976"/>
    <w:rsid w:val="00FB5A67"/>
    <w:rsid w:val="00FD12FA"/>
    <w:rsid w:val="00FE0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GridTable6ColorfulAccent5">
    <w:name w:val="Grid Table 6 Colorful Accent 5"/>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GridTable6ColorfulAccent5">
    <w:name w:val="Grid Table 6 Colorful Accent 5"/>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3694-EC94-45C7-8DF6-25D650E3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1078</Words>
  <Characters>5931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13</cp:revision>
  <cp:lastPrinted>2015-05-08T16:01:00Z</cp:lastPrinted>
  <dcterms:created xsi:type="dcterms:W3CDTF">2015-02-24T09:52:00Z</dcterms:created>
  <dcterms:modified xsi:type="dcterms:W3CDTF">2018-02-26T18:08:00Z</dcterms:modified>
</cp:coreProperties>
</file>