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52D1F" w14:textId="75A34785" w:rsidR="00D07C26" w:rsidRDefault="00CE6383">
      <w:pPr>
        <w:pStyle w:val="Corps"/>
        <w:jc w:val="center"/>
        <w:rPr>
          <w:b/>
          <w:bCs/>
          <w:sz w:val="28"/>
          <w:szCs w:val="28"/>
          <w:u w:val="single"/>
        </w:rPr>
      </w:pPr>
      <w:bookmarkStart w:id="0" w:name="_GoBack"/>
      <w:bookmarkEnd w:id="0"/>
      <w:r>
        <w:rPr>
          <w:b/>
          <w:bCs/>
          <w:sz w:val="28"/>
          <w:szCs w:val="28"/>
          <w:u w:val="single"/>
        </w:rPr>
        <w:t>TD1- COMPTA</w:t>
      </w:r>
      <w:r w:rsidR="00AA1DF8">
        <w:rPr>
          <w:b/>
          <w:bCs/>
          <w:sz w:val="28"/>
          <w:szCs w:val="28"/>
          <w:u w:val="single"/>
        </w:rPr>
        <w:t>BILITÉ</w:t>
      </w:r>
    </w:p>
    <w:p w14:paraId="05A1049D" w14:textId="77777777" w:rsidR="00D07C26" w:rsidRDefault="00D07C26">
      <w:pPr>
        <w:pStyle w:val="Corps"/>
        <w:rPr>
          <w:sz w:val="28"/>
          <w:szCs w:val="28"/>
        </w:rPr>
      </w:pPr>
    </w:p>
    <w:p w14:paraId="0D3AA260" w14:textId="77777777" w:rsidR="00D07C26" w:rsidRDefault="00D07C26">
      <w:pPr>
        <w:pStyle w:val="Corps"/>
        <w:rPr>
          <w:sz w:val="28"/>
          <w:szCs w:val="28"/>
        </w:rPr>
      </w:pPr>
    </w:p>
    <w:p w14:paraId="1D73FE37" w14:textId="77777777" w:rsidR="00D07C26" w:rsidRDefault="00D07C26">
      <w:pPr>
        <w:pStyle w:val="Corps"/>
        <w:rPr>
          <w:sz w:val="28"/>
          <w:szCs w:val="28"/>
        </w:rPr>
      </w:pPr>
    </w:p>
    <w:p w14:paraId="05EC4672" w14:textId="77777777" w:rsidR="00D07C26" w:rsidRDefault="00D07C26">
      <w:pPr>
        <w:pStyle w:val="Corps"/>
        <w:rPr>
          <w:sz w:val="28"/>
          <w:szCs w:val="28"/>
        </w:rPr>
      </w:pPr>
    </w:p>
    <w:p w14:paraId="54573B4F" w14:textId="77777777" w:rsidR="00D07C26" w:rsidRDefault="00CE6383">
      <w:pPr>
        <w:pStyle w:val="Corps"/>
        <w:rPr>
          <w:b/>
          <w:bCs/>
        </w:rPr>
      </w:pPr>
      <w:r>
        <w:rPr>
          <w:b/>
          <w:bCs/>
          <w:u w:val="single"/>
        </w:rPr>
        <w:t>Mini cas1:</w:t>
      </w:r>
      <w:r>
        <w:rPr>
          <w:b/>
          <w:bCs/>
        </w:rPr>
        <w:t xml:space="preserve"> Analyse des charges.</w:t>
      </w:r>
    </w:p>
    <w:p w14:paraId="318B32DF" w14:textId="77777777" w:rsidR="00D07C26" w:rsidRDefault="00D07C26">
      <w:pPr>
        <w:pStyle w:val="Corps"/>
      </w:pPr>
    </w:p>
    <w:p w14:paraId="442B6170" w14:textId="77777777" w:rsidR="00D07C26" w:rsidRDefault="00CE6383">
      <w:pPr>
        <w:pStyle w:val="Corps"/>
      </w:pPr>
      <w:r>
        <w:t>Charges exceptionnelles, dotations aux amortissements des frais d’établissement (frais engagé par l’entreprise pour s’établir, pour créer la société) —&gt; on ne les incorpore pas au coût.</w:t>
      </w:r>
    </w:p>
    <w:p w14:paraId="4F45EA04" w14:textId="77777777" w:rsidR="00D07C26" w:rsidRDefault="00CE6383">
      <w:pPr>
        <w:pStyle w:val="Corps"/>
      </w:pPr>
      <w:r>
        <w:t>Les dotations aux provisions pour créances douteuses —&gt; elles font parties de l’actif circulant, il ne s’amortie pas, il se déprécie. Ici c’est le risque de recevoir moins que ce qu’on avait au départ. On va compta le risque de perte.</w:t>
      </w:r>
    </w:p>
    <w:p w14:paraId="482F7D9C" w14:textId="77777777" w:rsidR="00D07C26" w:rsidRDefault="00D07C26">
      <w:pPr>
        <w:pStyle w:val="Corps"/>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6"/>
        <w:gridCol w:w="4816"/>
      </w:tblGrid>
      <w:tr w:rsidR="00D07C26" w14:paraId="51CE148E" w14:textId="77777777">
        <w:trPr>
          <w:trHeight w:val="2405"/>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F2A190" w14:textId="77777777" w:rsidR="00D07C26" w:rsidRDefault="00CE6383">
            <w:pPr>
              <w:pStyle w:val="Styledetableau2"/>
            </w:pPr>
            <w:r>
              <w:rPr>
                <w:b/>
                <w:bCs/>
              </w:rPr>
              <w:t>Charges non incorporables</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2CEDA0" w14:textId="77777777" w:rsidR="00D07C26" w:rsidRDefault="00CE6383">
            <w:pPr>
              <w:pStyle w:val="Styledetableau2"/>
              <w:numPr>
                <w:ilvl w:val="0"/>
                <w:numId w:val="1"/>
              </w:numPr>
            </w:pPr>
            <w:r>
              <w:rPr>
                <w:rFonts w:eastAsia="Arial Unicode MS" w:cs="Arial Unicode MS"/>
              </w:rPr>
              <w:t>Impôts sur le bénéfice= 5 000euros.</w:t>
            </w:r>
          </w:p>
          <w:p w14:paraId="71A4E492" w14:textId="77777777" w:rsidR="00D07C26" w:rsidRDefault="00CE6383">
            <w:pPr>
              <w:pStyle w:val="Styledetableau2"/>
              <w:numPr>
                <w:ilvl w:val="0"/>
                <w:numId w:val="1"/>
              </w:numPr>
            </w:pPr>
            <w:r>
              <w:rPr>
                <w:rFonts w:eastAsia="Arial Unicode MS" w:cs="Arial Unicode MS"/>
              </w:rPr>
              <w:t>Charges exceptionnelles= 25 000euros.</w:t>
            </w:r>
          </w:p>
          <w:p w14:paraId="5DE19FE3" w14:textId="77777777" w:rsidR="00D07C26" w:rsidRDefault="00CE6383">
            <w:pPr>
              <w:pStyle w:val="Styledetableau2"/>
              <w:numPr>
                <w:ilvl w:val="0"/>
                <w:numId w:val="1"/>
              </w:numPr>
            </w:pPr>
            <w:r>
              <w:rPr>
                <w:rFonts w:eastAsia="Arial Unicode MS" w:cs="Arial Unicode MS"/>
              </w:rPr>
              <w:t>Dotations aux amortissements des frais d’établissement= 6 000euros</w:t>
            </w:r>
          </w:p>
          <w:p w14:paraId="33BFA234" w14:textId="77777777" w:rsidR="00D07C26" w:rsidRDefault="00CE6383">
            <w:pPr>
              <w:pStyle w:val="Styledetableau2"/>
              <w:numPr>
                <w:ilvl w:val="0"/>
                <w:numId w:val="1"/>
              </w:numPr>
            </w:pPr>
            <w:r>
              <w:rPr>
                <w:rFonts w:eastAsia="Arial Unicode MS" w:cs="Arial Unicode MS"/>
              </w:rPr>
              <w:t>Charges aux provisions pour créances douteuses (charges de substitution)= 3 000euros (5 000 - 2000).</w:t>
            </w:r>
          </w:p>
          <w:p w14:paraId="59BE7D74" w14:textId="77777777" w:rsidR="00D07C26" w:rsidRDefault="00D07C26">
            <w:pPr>
              <w:pStyle w:val="Styledetableau2"/>
            </w:pPr>
          </w:p>
          <w:p w14:paraId="7BDFBFCD" w14:textId="77777777" w:rsidR="00D07C26" w:rsidRDefault="00CE6383">
            <w:pPr>
              <w:pStyle w:val="Styledetableau2"/>
              <w:rPr>
                <w:b/>
                <w:bCs/>
              </w:rPr>
            </w:pPr>
            <w:r>
              <w:rPr>
                <w:b/>
                <w:bCs/>
              </w:rPr>
              <w:t>= 39 000 euros.</w:t>
            </w:r>
          </w:p>
        </w:tc>
      </w:tr>
      <w:tr w:rsidR="00D07C26" w14:paraId="2F9DFD78" w14:textId="77777777">
        <w:trPr>
          <w:trHeight w:val="144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F779CE" w14:textId="77777777" w:rsidR="00D07C26" w:rsidRDefault="00CE6383">
            <w:pPr>
              <w:pStyle w:val="Styledetableau2"/>
            </w:pPr>
            <w:r>
              <w:rPr>
                <w:b/>
                <w:bCs/>
              </w:rPr>
              <w:t>Charges supplétives</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08B518" w14:textId="77777777" w:rsidR="00D07C26" w:rsidRDefault="00CE6383">
            <w:pPr>
              <w:pStyle w:val="Styledetableau2"/>
              <w:numPr>
                <w:ilvl w:val="0"/>
                <w:numId w:val="2"/>
              </w:numPr>
            </w:pPr>
            <w:r>
              <w:rPr>
                <w:rFonts w:eastAsia="Arial Unicode MS" w:cs="Arial Unicode MS"/>
              </w:rPr>
              <w:t>Rémunération fictive des capitaux propres= 300 000 x 0,025= 7 500euros.</w:t>
            </w:r>
          </w:p>
          <w:p w14:paraId="27182AB8" w14:textId="77777777" w:rsidR="00D07C26" w:rsidRDefault="00CE6383">
            <w:pPr>
              <w:pStyle w:val="Styledetableau2"/>
              <w:numPr>
                <w:ilvl w:val="0"/>
                <w:numId w:val="2"/>
              </w:numPr>
            </w:pPr>
            <w:r>
              <w:rPr>
                <w:rFonts w:eastAsia="Arial Unicode MS" w:cs="Arial Unicode MS"/>
              </w:rPr>
              <w:t>Rémunération fictive exploitation= 38 000euros.</w:t>
            </w:r>
          </w:p>
          <w:p w14:paraId="652B95E1" w14:textId="77777777" w:rsidR="00D07C26" w:rsidRDefault="00D07C26">
            <w:pPr>
              <w:pStyle w:val="Styledetableau2"/>
            </w:pPr>
          </w:p>
          <w:p w14:paraId="5421CC0D" w14:textId="77777777" w:rsidR="00D07C26" w:rsidRDefault="00CE6383">
            <w:pPr>
              <w:pStyle w:val="Styledetableau2"/>
              <w:rPr>
                <w:b/>
                <w:bCs/>
              </w:rPr>
            </w:pPr>
            <w:r>
              <w:rPr>
                <w:b/>
                <w:bCs/>
              </w:rPr>
              <w:t>= 45 500euros.</w:t>
            </w:r>
          </w:p>
        </w:tc>
      </w:tr>
      <w:tr w:rsidR="00D07C26" w:rsidRPr="00AA1DF8" w14:paraId="28CEAEFC" w14:textId="77777777">
        <w:trPr>
          <w:trHeight w:val="485"/>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11A9E7" w14:textId="77777777" w:rsidR="00D07C26" w:rsidRDefault="00CE6383">
            <w:pPr>
              <w:pStyle w:val="Styledetableau2"/>
            </w:pPr>
            <w:r>
              <w:rPr>
                <w:b/>
                <w:bCs/>
              </w:rPr>
              <w:t>Charges de la compta de gestion</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AFDD6E" w14:textId="77777777" w:rsidR="00D07C26" w:rsidRDefault="00CE6383">
            <w:pPr>
              <w:pStyle w:val="Styledetableau2"/>
              <w:numPr>
                <w:ilvl w:val="0"/>
                <w:numId w:val="3"/>
              </w:numPr>
            </w:pPr>
            <w:r>
              <w:rPr>
                <w:rFonts w:eastAsia="Arial Unicode MS" w:cs="Arial Unicode MS"/>
              </w:rPr>
              <w:t xml:space="preserve">Dotation aux amortissements des </w:t>
            </w:r>
            <w:proofErr w:type="spellStart"/>
            <w:r>
              <w:rPr>
                <w:rFonts w:eastAsia="Arial Unicode MS" w:cs="Arial Unicode MS"/>
              </w:rPr>
              <w:t>bâ</w:t>
            </w:r>
            <w:proofErr w:type="spellEnd"/>
            <w:r>
              <w:rPr>
                <w:rFonts w:eastAsia="Arial Unicode MS" w:cs="Arial Unicode MS"/>
                <w:lang w:val="pt-PT"/>
              </w:rPr>
              <w:t>timents.</w:t>
            </w:r>
          </w:p>
        </w:tc>
      </w:tr>
    </w:tbl>
    <w:p w14:paraId="1C1BD436" w14:textId="77777777" w:rsidR="00D07C26" w:rsidRDefault="00D07C26">
      <w:pPr>
        <w:pStyle w:val="Corps"/>
      </w:pPr>
    </w:p>
    <w:p w14:paraId="72A8ED36" w14:textId="77777777" w:rsidR="00D07C26" w:rsidRDefault="00D07C26">
      <w:pPr>
        <w:pStyle w:val="Corps"/>
      </w:pPr>
    </w:p>
    <w:p w14:paraId="55A12967" w14:textId="77777777" w:rsidR="00D07C26" w:rsidRDefault="00CE6383">
      <w:pPr>
        <w:pStyle w:val="Corps"/>
        <w:rPr>
          <w:b/>
          <w:bCs/>
        </w:rPr>
      </w:pPr>
      <w:r>
        <w:rPr>
          <w:b/>
          <w:bCs/>
        </w:rPr>
        <w:t>Conclusion:</w:t>
      </w:r>
    </w:p>
    <w:p w14:paraId="22BE26C4" w14:textId="77777777" w:rsidR="00D07C26" w:rsidRDefault="00CE6383">
      <w:pPr>
        <w:pStyle w:val="Corps"/>
        <w:numPr>
          <w:ilvl w:val="0"/>
          <w:numId w:val="5"/>
        </w:numPr>
      </w:pPr>
      <w:r>
        <w:t>Total des charges compta générale (120 000euros)</w:t>
      </w:r>
    </w:p>
    <w:p w14:paraId="73E1F894" w14:textId="77777777" w:rsidR="00D07C26" w:rsidRDefault="00CE6383">
      <w:pPr>
        <w:pStyle w:val="Corps"/>
        <w:numPr>
          <w:ilvl w:val="0"/>
          <w:numId w:val="7"/>
        </w:numPr>
      </w:pPr>
      <w:r>
        <w:t>Charges non-incorporables (- 39 000)</w:t>
      </w:r>
    </w:p>
    <w:p w14:paraId="3F0A3BA1" w14:textId="77777777" w:rsidR="00D07C26" w:rsidRDefault="00CE6383">
      <w:pPr>
        <w:pStyle w:val="Corps"/>
        <w:numPr>
          <w:ilvl w:val="0"/>
          <w:numId w:val="5"/>
        </w:numPr>
      </w:pPr>
      <w:r>
        <w:t>Charges supplétives (+ 45 500)</w:t>
      </w:r>
    </w:p>
    <w:p w14:paraId="069E5EB1" w14:textId="77777777" w:rsidR="00D07C26" w:rsidRDefault="00CE6383">
      <w:pPr>
        <w:pStyle w:val="Corps"/>
      </w:pPr>
      <w:r>
        <w:t>= 126 500euros</w:t>
      </w:r>
    </w:p>
    <w:p w14:paraId="04A35F8E" w14:textId="77777777" w:rsidR="00D07C26" w:rsidRDefault="00D07C26">
      <w:pPr>
        <w:pStyle w:val="Corps"/>
      </w:pPr>
    </w:p>
    <w:p w14:paraId="0A95875B" w14:textId="77777777" w:rsidR="00D07C26" w:rsidRDefault="00D07C26">
      <w:pPr>
        <w:pStyle w:val="Corps"/>
      </w:pPr>
    </w:p>
    <w:p w14:paraId="25766D73" w14:textId="77777777" w:rsidR="00D07C26" w:rsidRDefault="00D07C26">
      <w:pPr>
        <w:pStyle w:val="Corps"/>
      </w:pPr>
    </w:p>
    <w:p w14:paraId="4B51A1E1" w14:textId="77777777" w:rsidR="00D07C26" w:rsidRDefault="00D07C26">
      <w:pPr>
        <w:pStyle w:val="Corps"/>
      </w:pPr>
    </w:p>
    <w:p w14:paraId="15BC0B0F" w14:textId="77777777" w:rsidR="00D07C26" w:rsidRDefault="00D07C26">
      <w:pPr>
        <w:pStyle w:val="Corps"/>
      </w:pPr>
    </w:p>
    <w:p w14:paraId="6A00FB83" w14:textId="77777777" w:rsidR="00D07C26" w:rsidRDefault="00CE6383">
      <w:pPr>
        <w:pStyle w:val="Corps"/>
        <w:rPr>
          <w:b/>
          <w:bCs/>
        </w:rPr>
      </w:pPr>
      <w:r>
        <w:rPr>
          <w:b/>
          <w:bCs/>
          <w:u w:val="single"/>
        </w:rPr>
        <w:t>Mini cas2:</w:t>
      </w:r>
      <w:r>
        <w:rPr>
          <w:b/>
          <w:bCs/>
        </w:rPr>
        <w:t xml:space="preserve"> Calcul des charges incorporables.</w:t>
      </w:r>
    </w:p>
    <w:p w14:paraId="42BDD237" w14:textId="77777777" w:rsidR="00D07C26" w:rsidRDefault="00D07C26">
      <w:pPr>
        <w:pStyle w:val="Corps"/>
        <w:rPr>
          <w:b/>
          <w:bCs/>
        </w:rPr>
      </w:pPr>
    </w:p>
    <w:p w14:paraId="07366AF7" w14:textId="77777777" w:rsidR="00D07C26" w:rsidRDefault="00CE6383">
      <w:pPr>
        <w:pStyle w:val="Corps"/>
      </w:pPr>
      <w:r>
        <w:t>Charges incorporables pour le mois de Février:</w:t>
      </w:r>
    </w:p>
    <w:p w14:paraId="4DB2372F" w14:textId="77777777" w:rsidR="00D07C26" w:rsidRDefault="00CE6383">
      <w:pPr>
        <w:pStyle w:val="Corps"/>
        <w:numPr>
          <w:ilvl w:val="0"/>
          <w:numId w:val="7"/>
        </w:numPr>
      </w:pPr>
      <w:r>
        <w:t xml:space="preserve">Achat de matière première (coût d’achat des éléments consommés): </w:t>
      </w:r>
    </w:p>
    <w:p w14:paraId="48FBDB6B" w14:textId="77777777" w:rsidR="00D07C26" w:rsidRDefault="00CE6383">
      <w:pPr>
        <w:pStyle w:val="Corps"/>
      </w:pPr>
      <w:r>
        <w:t>500 000+ (SI-SF)</w:t>
      </w:r>
    </w:p>
    <w:p w14:paraId="011D6D72" w14:textId="77777777" w:rsidR="00D07C26" w:rsidRDefault="00CE6383">
      <w:pPr>
        <w:pStyle w:val="Corps"/>
      </w:pPr>
      <w:r>
        <w:t>500 000+ (68200- 82800) = 485 687euros.</w:t>
      </w:r>
    </w:p>
    <w:p w14:paraId="60FC4C29" w14:textId="77777777" w:rsidR="00D07C26" w:rsidRDefault="00D07C26">
      <w:pPr>
        <w:pStyle w:val="Corps"/>
      </w:pPr>
    </w:p>
    <w:p w14:paraId="4A029F01" w14:textId="77777777" w:rsidR="00D07C26" w:rsidRDefault="00CE6383">
      <w:pPr>
        <w:pStyle w:val="Corps"/>
        <w:numPr>
          <w:ilvl w:val="0"/>
          <w:numId w:val="7"/>
        </w:numPr>
      </w:pPr>
      <w:r>
        <w:t>Achats non stockés: 15 300euros.</w:t>
      </w:r>
    </w:p>
    <w:p w14:paraId="619AD40F" w14:textId="77777777" w:rsidR="00D07C26" w:rsidRDefault="00CE6383">
      <w:pPr>
        <w:pStyle w:val="Corps"/>
        <w:numPr>
          <w:ilvl w:val="0"/>
          <w:numId w:val="7"/>
        </w:numPr>
      </w:pPr>
      <w:r>
        <w:t>Autres charges externes:</w:t>
      </w:r>
    </w:p>
    <w:p w14:paraId="0BC63678" w14:textId="77777777" w:rsidR="00D07C26" w:rsidRDefault="00CE6383">
      <w:pPr>
        <w:pStyle w:val="Corps"/>
      </w:pPr>
      <w:r>
        <w:t>Redevance trimestrielle —&gt; 1600euros (9600/6).</w:t>
      </w:r>
    </w:p>
    <w:p w14:paraId="4E24461A" w14:textId="77777777" w:rsidR="00D07C26" w:rsidRDefault="00CE6383">
      <w:pPr>
        <w:pStyle w:val="Corps"/>
      </w:pPr>
      <w:r>
        <w:lastRenderedPageBreak/>
        <w:t>Prime annuelle d’assurance —&gt; 1020euros (12240/12)/</w:t>
      </w:r>
    </w:p>
    <w:p w14:paraId="60A2293D" w14:textId="77777777" w:rsidR="00D07C26" w:rsidRDefault="00CE6383">
      <w:pPr>
        <w:pStyle w:val="Corps"/>
      </w:pPr>
      <w:r>
        <w:t>Loyer bimestriel —&gt; 7200euros (14400/2).</w:t>
      </w:r>
    </w:p>
    <w:p w14:paraId="4814E22D" w14:textId="77777777" w:rsidR="00D07C26" w:rsidRDefault="00D07C26">
      <w:pPr>
        <w:pStyle w:val="Corps"/>
      </w:pPr>
    </w:p>
    <w:p w14:paraId="6435AA18" w14:textId="77777777" w:rsidR="00D07C26" w:rsidRDefault="00CE6383">
      <w:pPr>
        <w:pStyle w:val="Corps"/>
        <w:numPr>
          <w:ilvl w:val="0"/>
          <w:numId w:val="7"/>
        </w:numPr>
      </w:pPr>
      <w:r>
        <w:t>Impôts et taxes: 61 000euros.</w:t>
      </w:r>
    </w:p>
    <w:p w14:paraId="79CB3B13" w14:textId="77777777" w:rsidR="00D07C26" w:rsidRDefault="00CE6383">
      <w:pPr>
        <w:pStyle w:val="Corps"/>
        <w:numPr>
          <w:ilvl w:val="0"/>
          <w:numId w:val="7"/>
        </w:numPr>
      </w:pPr>
      <w:r>
        <w:t>Charges de personnel: 426 200euros.</w:t>
      </w:r>
    </w:p>
    <w:p w14:paraId="04A63860" w14:textId="77777777" w:rsidR="00D07C26" w:rsidRDefault="00CE6383">
      <w:pPr>
        <w:pStyle w:val="Corps"/>
        <w:numPr>
          <w:ilvl w:val="0"/>
          <w:numId w:val="7"/>
        </w:numPr>
      </w:pPr>
      <w:r>
        <w:t>Autres charges de gestion courante: 28 275euros.</w:t>
      </w:r>
    </w:p>
    <w:p w14:paraId="77CD60B6" w14:textId="77777777" w:rsidR="00D07C26" w:rsidRDefault="00CE6383">
      <w:pPr>
        <w:pStyle w:val="Corps"/>
        <w:numPr>
          <w:ilvl w:val="0"/>
          <w:numId w:val="7"/>
        </w:numPr>
      </w:pPr>
      <w:r>
        <w:t>Charges financières: 32 000euros.</w:t>
      </w:r>
    </w:p>
    <w:p w14:paraId="1D041BE8" w14:textId="77777777" w:rsidR="00D07C26" w:rsidRDefault="00CE6383">
      <w:pPr>
        <w:pStyle w:val="Corps"/>
        <w:numPr>
          <w:ilvl w:val="0"/>
          <w:numId w:val="7"/>
        </w:numPr>
      </w:pPr>
      <w:r>
        <w:t>Charges supplétives:</w:t>
      </w:r>
    </w:p>
    <w:p w14:paraId="41AF5B70" w14:textId="77777777" w:rsidR="00D07C26" w:rsidRDefault="00CE6383">
      <w:pPr>
        <w:pStyle w:val="Corps"/>
      </w:pPr>
      <w:r>
        <w:t>Rémunération exploitation —&gt; 14 000euros (42 000/3).</w:t>
      </w:r>
    </w:p>
    <w:p w14:paraId="7F53AE73" w14:textId="77777777" w:rsidR="00D07C26" w:rsidRDefault="00CE6383">
      <w:pPr>
        <w:pStyle w:val="Corps"/>
      </w:pPr>
      <w:r>
        <w:t xml:space="preserve">Rémunération capitaux propres —&gt; 5 490euros </w:t>
      </w:r>
      <w:proofErr w:type="gramStart"/>
      <w:r>
        <w:t>( (</w:t>
      </w:r>
      <w:proofErr w:type="gramEnd"/>
      <w:r>
        <w:t>4 280 000 x0,021) / 12).</w:t>
      </w:r>
    </w:p>
    <w:p w14:paraId="48587F04" w14:textId="77777777" w:rsidR="00D07C26" w:rsidRDefault="00D07C26">
      <w:pPr>
        <w:pStyle w:val="Corps"/>
      </w:pPr>
    </w:p>
    <w:p w14:paraId="060DA56E" w14:textId="77777777" w:rsidR="00D07C26" w:rsidRDefault="00CE6383">
      <w:pPr>
        <w:pStyle w:val="Corps"/>
      </w:pPr>
      <w:r>
        <w:t>= Charges incorporables —&gt; 1 079 772.</w:t>
      </w:r>
    </w:p>
    <w:sectPr w:rsidR="00D07C26">
      <w:head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07C95" w14:textId="77777777" w:rsidR="000A2B5F" w:rsidRDefault="000A2B5F">
      <w:r>
        <w:separator/>
      </w:r>
    </w:p>
  </w:endnote>
  <w:endnote w:type="continuationSeparator" w:id="0">
    <w:p w14:paraId="53C3CEB6" w14:textId="77777777" w:rsidR="000A2B5F" w:rsidRDefault="000A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A62A3" w14:textId="77777777" w:rsidR="000A2B5F" w:rsidRDefault="000A2B5F">
      <w:r>
        <w:separator/>
      </w:r>
    </w:p>
  </w:footnote>
  <w:footnote w:type="continuationSeparator" w:id="0">
    <w:p w14:paraId="41B21EE8" w14:textId="77777777" w:rsidR="000A2B5F" w:rsidRDefault="000A2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E3BB7" w14:textId="68980503" w:rsidR="00D07C26" w:rsidRDefault="00953B13">
    <w:r>
      <w:rPr>
        <w:noProof/>
        <w:lang w:val="fr-FR" w:eastAsia="fr-FR"/>
      </w:rPr>
      <w:drawing>
        <wp:anchor distT="0" distB="0" distL="114300" distR="114300" simplePos="0" relativeHeight="251658240" behindDoc="0" locked="0" layoutInCell="1" allowOverlap="1" wp14:anchorId="1F04AF70" wp14:editId="16EB8B55">
          <wp:simplePos x="0" y="0"/>
          <wp:positionH relativeFrom="column">
            <wp:posOffset>5937885</wp:posOffset>
          </wp:positionH>
          <wp:positionV relativeFrom="paragraph">
            <wp:posOffset>-431165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409B"/>
    <w:multiLevelType w:val="hybridMultilevel"/>
    <w:tmpl w:val="8536E6E2"/>
    <w:lvl w:ilvl="0" w:tplc="FB3E035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1850F3E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475A952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EAAED42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C826D12A">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C392678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522846B8">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7AB8642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0B8C68C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
    <w:nsid w:val="16C07B2C"/>
    <w:multiLevelType w:val="hybridMultilevel"/>
    <w:tmpl w:val="D2A83614"/>
    <w:numStyleLink w:val="Puce"/>
  </w:abstractNum>
  <w:abstractNum w:abstractNumId="2">
    <w:nsid w:val="217B33A3"/>
    <w:multiLevelType w:val="hybridMultilevel"/>
    <w:tmpl w:val="59103280"/>
    <w:lvl w:ilvl="0" w:tplc="D9D0C1EA">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B6740292">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F0381C1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9588EC5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ED40423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88046B28">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343EA26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661A633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5EE87306">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3">
    <w:nsid w:val="2E6F245A"/>
    <w:multiLevelType w:val="hybridMultilevel"/>
    <w:tmpl w:val="9C922EE4"/>
    <w:lvl w:ilvl="0" w:tplc="5EEAA22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1CE2869E">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C95671A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872888F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9E605FAE">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EE1686A0">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4BD4974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B71A0DF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2C0AC432">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4">
    <w:nsid w:val="375B58A4"/>
    <w:multiLevelType w:val="hybridMultilevel"/>
    <w:tmpl w:val="A22C0F26"/>
    <w:styleLink w:val="Tiret"/>
    <w:lvl w:ilvl="0" w:tplc="7D860A6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B0508FC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5074C82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982D49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6DC6E44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9F9A84F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1D7A587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52AC232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69DC9C4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nsid w:val="48977A64"/>
    <w:multiLevelType w:val="hybridMultilevel"/>
    <w:tmpl w:val="A22C0F26"/>
    <w:numStyleLink w:val="Tiret"/>
  </w:abstractNum>
  <w:abstractNum w:abstractNumId="6">
    <w:nsid w:val="6CC627F4"/>
    <w:multiLevelType w:val="hybridMultilevel"/>
    <w:tmpl w:val="D2A83614"/>
    <w:styleLink w:val="Puce"/>
    <w:lvl w:ilvl="0" w:tplc="1164A23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F3CD32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5BC799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DC0B4C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DC646F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30A002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0B6430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1BA7FB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C00CE7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26"/>
    <w:rsid w:val="000A2B5F"/>
    <w:rsid w:val="00602001"/>
    <w:rsid w:val="006836AC"/>
    <w:rsid w:val="00953B13"/>
    <w:rsid w:val="00AA1DF8"/>
    <w:rsid w:val="00CE6383"/>
    <w:rsid w:val="00D07C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9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paragraph" w:customStyle="1" w:styleId="Styledetableau2">
    <w:name w:val="Style de tableau 2"/>
    <w:rPr>
      <w:rFonts w:ascii="Helvetica" w:eastAsia="Helvetica" w:hAnsi="Helvetica" w:cs="Helvetica"/>
      <w:color w:val="000000"/>
    </w:rPr>
  </w:style>
  <w:style w:type="numbering" w:customStyle="1" w:styleId="Puce">
    <w:name w:val="Puce"/>
    <w:pPr>
      <w:numPr>
        <w:numId w:val="4"/>
      </w:numPr>
    </w:pPr>
  </w:style>
  <w:style w:type="numbering" w:customStyle="1" w:styleId="Tiret">
    <w:name w:val="Tiret"/>
    <w:pPr>
      <w:numPr>
        <w:numId w:val="6"/>
      </w:numPr>
    </w:pPr>
  </w:style>
  <w:style w:type="paragraph" w:styleId="En-tte">
    <w:name w:val="header"/>
    <w:basedOn w:val="Normal"/>
    <w:link w:val="En-tteCar"/>
    <w:uiPriority w:val="99"/>
    <w:unhideWhenUsed/>
    <w:rsid w:val="00602001"/>
    <w:pPr>
      <w:tabs>
        <w:tab w:val="center" w:pos="4536"/>
        <w:tab w:val="right" w:pos="9072"/>
      </w:tabs>
    </w:pPr>
  </w:style>
  <w:style w:type="character" w:customStyle="1" w:styleId="En-tteCar">
    <w:name w:val="En-tête Car"/>
    <w:basedOn w:val="Policepardfaut"/>
    <w:link w:val="En-tte"/>
    <w:uiPriority w:val="99"/>
    <w:rsid w:val="00602001"/>
    <w:rPr>
      <w:sz w:val="24"/>
      <w:szCs w:val="24"/>
      <w:lang w:val="en-US" w:eastAsia="en-US"/>
    </w:rPr>
  </w:style>
  <w:style w:type="paragraph" w:styleId="Pieddepage">
    <w:name w:val="footer"/>
    <w:basedOn w:val="Normal"/>
    <w:link w:val="PieddepageCar"/>
    <w:uiPriority w:val="99"/>
    <w:unhideWhenUsed/>
    <w:rsid w:val="00602001"/>
    <w:pPr>
      <w:tabs>
        <w:tab w:val="center" w:pos="4536"/>
        <w:tab w:val="right" w:pos="9072"/>
      </w:tabs>
    </w:pPr>
  </w:style>
  <w:style w:type="character" w:customStyle="1" w:styleId="PieddepageCar">
    <w:name w:val="Pied de page Car"/>
    <w:basedOn w:val="Policepardfaut"/>
    <w:link w:val="Pieddepage"/>
    <w:uiPriority w:val="99"/>
    <w:rsid w:val="00602001"/>
    <w:rPr>
      <w:sz w:val="24"/>
      <w:szCs w:val="24"/>
      <w:lang w:val="en-US" w:eastAsia="en-US"/>
    </w:rPr>
  </w:style>
  <w:style w:type="paragraph" w:styleId="Textedebulles">
    <w:name w:val="Balloon Text"/>
    <w:basedOn w:val="Normal"/>
    <w:link w:val="TextedebullesCar"/>
    <w:uiPriority w:val="99"/>
    <w:semiHidden/>
    <w:unhideWhenUsed/>
    <w:rsid w:val="00953B13"/>
    <w:rPr>
      <w:rFonts w:ascii="Tahoma" w:hAnsi="Tahoma" w:cs="Tahoma"/>
      <w:sz w:val="16"/>
      <w:szCs w:val="16"/>
    </w:rPr>
  </w:style>
  <w:style w:type="character" w:customStyle="1" w:styleId="TextedebullesCar">
    <w:name w:val="Texte de bulles Car"/>
    <w:basedOn w:val="Policepardfaut"/>
    <w:link w:val="Textedebulles"/>
    <w:uiPriority w:val="99"/>
    <w:semiHidden/>
    <w:rsid w:val="00953B1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paragraph" w:customStyle="1" w:styleId="Styledetableau2">
    <w:name w:val="Style de tableau 2"/>
    <w:rPr>
      <w:rFonts w:ascii="Helvetica" w:eastAsia="Helvetica" w:hAnsi="Helvetica" w:cs="Helvetica"/>
      <w:color w:val="000000"/>
    </w:rPr>
  </w:style>
  <w:style w:type="numbering" w:customStyle="1" w:styleId="Puce">
    <w:name w:val="Puce"/>
    <w:pPr>
      <w:numPr>
        <w:numId w:val="4"/>
      </w:numPr>
    </w:pPr>
  </w:style>
  <w:style w:type="numbering" w:customStyle="1" w:styleId="Tiret">
    <w:name w:val="Tiret"/>
    <w:pPr>
      <w:numPr>
        <w:numId w:val="6"/>
      </w:numPr>
    </w:pPr>
  </w:style>
  <w:style w:type="paragraph" w:styleId="En-tte">
    <w:name w:val="header"/>
    <w:basedOn w:val="Normal"/>
    <w:link w:val="En-tteCar"/>
    <w:uiPriority w:val="99"/>
    <w:unhideWhenUsed/>
    <w:rsid w:val="00602001"/>
    <w:pPr>
      <w:tabs>
        <w:tab w:val="center" w:pos="4536"/>
        <w:tab w:val="right" w:pos="9072"/>
      </w:tabs>
    </w:pPr>
  </w:style>
  <w:style w:type="character" w:customStyle="1" w:styleId="En-tteCar">
    <w:name w:val="En-tête Car"/>
    <w:basedOn w:val="Policepardfaut"/>
    <w:link w:val="En-tte"/>
    <w:uiPriority w:val="99"/>
    <w:rsid w:val="00602001"/>
    <w:rPr>
      <w:sz w:val="24"/>
      <w:szCs w:val="24"/>
      <w:lang w:val="en-US" w:eastAsia="en-US"/>
    </w:rPr>
  </w:style>
  <w:style w:type="paragraph" w:styleId="Pieddepage">
    <w:name w:val="footer"/>
    <w:basedOn w:val="Normal"/>
    <w:link w:val="PieddepageCar"/>
    <w:uiPriority w:val="99"/>
    <w:unhideWhenUsed/>
    <w:rsid w:val="00602001"/>
    <w:pPr>
      <w:tabs>
        <w:tab w:val="center" w:pos="4536"/>
        <w:tab w:val="right" w:pos="9072"/>
      </w:tabs>
    </w:pPr>
  </w:style>
  <w:style w:type="character" w:customStyle="1" w:styleId="PieddepageCar">
    <w:name w:val="Pied de page Car"/>
    <w:basedOn w:val="Policepardfaut"/>
    <w:link w:val="Pieddepage"/>
    <w:uiPriority w:val="99"/>
    <w:rsid w:val="00602001"/>
    <w:rPr>
      <w:sz w:val="24"/>
      <w:szCs w:val="24"/>
      <w:lang w:val="en-US" w:eastAsia="en-US"/>
    </w:rPr>
  </w:style>
  <w:style w:type="paragraph" w:styleId="Textedebulles">
    <w:name w:val="Balloon Text"/>
    <w:basedOn w:val="Normal"/>
    <w:link w:val="TextedebullesCar"/>
    <w:uiPriority w:val="99"/>
    <w:semiHidden/>
    <w:unhideWhenUsed/>
    <w:rsid w:val="00953B13"/>
    <w:rPr>
      <w:rFonts w:ascii="Tahoma" w:hAnsi="Tahoma" w:cs="Tahoma"/>
      <w:sz w:val="16"/>
      <w:szCs w:val="16"/>
    </w:rPr>
  </w:style>
  <w:style w:type="character" w:customStyle="1" w:styleId="TextedebullesCar">
    <w:name w:val="Texte de bulles Car"/>
    <w:basedOn w:val="Policepardfaut"/>
    <w:link w:val="Textedebulles"/>
    <w:uiPriority w:val="99"/>
    <w:semiHidden/>
    <w:rsid w:val="00953B1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Julien Sire</cp:lastModifiedBy>
  <cp:revision>4</cp:revision>
  <dcterms:created xsi:type="dcterms:W3CDTF">2017-03-11T11:15:00Z</dcterms:created>
  <dcterms:modified xsi:type="dcterms:W3CDTF">2018-02-26T17:48:00Z</dcterms:modified>
</cp:coreProperties>
</file>