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2D3B0" w14:textId="77777777" w:rsidR="00963567" w:rsidRDefault="002B1C21" w:rsidP="002B1C21">
      <w:pPr>
        <w:pStyle w:val="Titre1"/>
      </w:pPr>
      <w:r w:rsidRPr="002B1C21">
        <w:t>Les coûts partiels : méthode des coûts variables.</w:t>
      </w:r>
    </w:p>
    <w:p w14:paraId="7B7FAE7F" w14:textId="77777777" w:rsidR="002B1C21" w:rsidRDefault="002B1C21" w:rsidP="002B1C21">
      <w:r>
        <w:br/>
        <w:t xml:space="preserve">     Une entreprise commercialise 1 ou 2 produits, quel est son coût de revient ? On peut utiliser la méthode des coûts complets (charges directes et indirectes). Ici, nous regarderons les coûts partiels et nous estimerons ce qui est une charge fixe et une charge variable. </w:t>
      </w:r>
    </w:p>
    <w:p w14:paraId="6C563ABD" w14:textId="77777777" w:rsidR="002B1C21" w:rsidRDefault="007A37E1" w:rsidP="002B1C21">
      <w:r w:rsidRPr="002B1C21">
        <w:rPr>
          <w:b/>
          <w:u w:val="single"/>
        </w:rPr>
        <w:t xml:space="preserve">     Charge</w:t>
      </w:r>
      <w:r>
        <w:rPr>
          <w:b/>
          <w:u w:val="single"/>
        </w:rPr>
        <w:t xml:space="preserve"> </w:t>
      </w:r>
      <w:r>
        <w:t xml:space="preserve">= consommation définitive de l’entreprise. </w:t>
      </w:r>
      <w:r>
        <w:rPr>
          <w:b/>
          <w:u w:val="single"/>
        </w:rPr>
        <w:br/>
      </w:r>
      <w:r w:rsidR="002B1C21" w:rsidRPr="002B1C21">
        <w:rPr>
          <w:b/>
          <w:u w:val="single"/>
        </w:rPr>
        <w:t xml:space="preserve">     Charge fixe</w:t>
      </w:r>
      <w:r w:rsidR="002B1C21">
        <w:t xml:space="preserve"> = charge indépendante de l’activité de l’entreprise (loyer, amortissement du matériel, salaire).</w:t>
      </w:r>
      <w:r w:rsidR="00E816DA">
        <w:t xml:space="preserve"> Elles sont traitées globalement pour la détermination du résultat. </w:t>
      </w:r>
      <w:r w:rsidR="002B1C21">
        <w:br/>
      </w:r>
      <w:r w:rsidR="002B1C21" w:rsidRPr="002B1C21">
        <w:rPr>
          <w:b/>
          <w:u w:val="single"/>
        </w:rPr>
        <w:t xml:space="preserve">     Charge </w:t>
      </w:r>
      <w:r w:rsidR="002B1C21">
        <w:rPr>
          <w:b/>
          <w:u w:val="single"/>
        </w:rPr>
        <w:t>variable</w:t>
      </w:r>
      <w:r w:rsidR="002B1C21">
        <w:t xml:space="preserve"> = charge dépendante de l’activité de l’entreprise. Plus on ac</w:t>
      </w:r>
      <w:r w:rsidR="00E816DA">
        <w:t>hète et plus on paie de charges</w:t>
      </w:r>
      <w:r w:rsidR="002B1C21">
        <w:t xml:space="preserve"> </w:t>
      </w:r>
      <w:r w:rsidR="00E816DA">
        <w:t>(P</w:t>
      </w:r>
      <w:r w:rsidR="002B1C21">
        <w:t xml:space="preserve">rix d’achats des matières premières). </w:t>
      </w:r>
    </w:p>
    <w:p w14:paraId="4318678F" w14:textId="77777777" w:rsidR="002B1C21" w:rsidRDefault="002B1C21" w:rsidP="002B1C21"/>
    <w:p w14:paraId="1A49BF61" w14:textId="77777777" w:rsidR="002B1C21" w:rsidRDefault="002B1C21" w:rsidP="002B1C21">
      <w:pPr>
        <w:pStyle w:val="Titre2"/>
      </w:pPr>
      <w:r w:rsidRPr="002B1C21">
        <w:t xml:space="preserve">Principes généraux. </w:t>
      </w:r>
    </w:p>
    <w:p w14:paraId="1A3FAB55" w14:textId="77777777" w:rsidR="00E816DA" w:rsidRDefault="00E816DA" w:rsidP="002B1C21">
      <w:r>
        <w:t xml:space="preserve">     </w:t>
      </w:r>
      <w:r w:rsidR="002B1C21">
        <w:t xml:space="preserve">La méthode des coûts variables (Direct </w:t>
      </w:r>
      <w:proofErr w:type="spellStart"/>
      <w:r w:rsidR="002B1C21">
        <w:t>Costing</w:t>
      </w:r>
      <w:proofErr w:type="spellEnd"/>
      <w:r w:rsidR="002B1C21">
        <w:t>) se fonde sur la distinction entre les Cout variables et les couts fixes. Elle fait abstraction des charges directes et indirectes</w:t>
      </w:r>
      <w:r>
        <w:t> ; s</w:t>
      </w:r>
      <w:r w:rsidR="002B1C21">
        <w:t xml:space="preserve">eule la variabilité ou la fixité des charges est prise en compte. </w:t>
      </w:r>
      <w:r w:rsidR="007A37E1">
        <w:br/>
      </w:r>
      <w:r>
        <w:br/>
      </w:r>
      <w:r w:rsidRPr="002B1C21">
        <w:rPr>
          <w:b/>
          <w:u w:val="single"/>
        </w:rPr>
        <w:t xml:space="preserve">     </w:t>
      </w:r>
      <w:r>
        <w:rPr>
          <w:b/>
          <w:u w:val="single"/>
        </w:rPr>
        <w:t>Méthode des coûts variables</w:t>
      </w:r>
      <w:r>
        <w:t xml:space="preserve"> = consiste à ne retenir pour le calcul du coût d’un produit, d’une commande ou d’une activité</w:t>
      </w:r>
      <w:r w:rsidR="007A37E1">
        <w:t xml:space="preserve">, que les charges qui varient avec le volume d’activité de l’entreprise (directe ou indirecte) sans qu’il y ait nécessairement proportionnalité entre la variation des charges et du volume d’activité.  </w:t>
      </w:r>
      <w:r>
        <w:t>.</w:t>
      </w:r>
    </w:p>
    <w:p w14:paraId="179C8D1C" w14:textId="77777777" w:rsidR="007A37E1" w:rsidRDefault="007A37E1" w:rsidP="007A37E1">
      <w:pPr>
        <w:pStyle w:val="Titre3"/>
      </w:pPr>
      <w:r>
        <w:t xml:space="preserve">Objectifs. </w:t>
      </w:r>
    </w:p>
    <w:p w14:paraId="6BDE2B9C" w14:textId="77777777" w:rsidR="007A37E1" w:rsidRPr="007A37E1" w:rsidRDefault="007A37E1" w:rsidP="007A37E1">
      <w:r>
        <w:t xml:space="preserve">     Son objectif est de mettre en évidence la contribution de chaque produit à la réalisation de la marge globale de l’entreprise et à la couverture de ses charges fixes. Le coût est formé uniquement des charges qui varient avec le volume d’activité. Il ne s’agit pas de rechercher la rentabilité nette des différents produits ou activités, mais de dégager une marge, quelles que soient les charges de structure qui pourraient être effectivement appliquées au coût calculé. </w:t>
      </w:r>
      <w:r>
        <w:br/>
      </w:r>
    </w:p>
    <w:p w14:paraId="453BE19A" w14:textId="77777777" w:rsidR="002B1C21" w:rsidRDefault="002B1C21" w:rsidP="002B1C21">
      <w:pPr>
        <w:pStyle w:val="Titre3"/>
      </w:pPr>
      <w:r w:rsidRPr="002B1C21">
        <w:t xml:space="preserve">Fondements. </w:t>
      </w:r>
      <w:r w:rsidR="00E816DA">
        <w:br/>
      </w:r>
      <w:r w:rsidR="00E816DA" w:rsidRPr="00E816DA">
        <w:rPr>
          <w:color w:val="FFFFFF" w:themeColor="background1"/>
          <w:sz w:val="18"/>
        </w:rPr>
        <w:t xml:space="preserve"> </w:t>
      </w:r>
      <w:proofErr w:type="gramStart"/>
      <w:r w:rsidR="00E816DA" w:rsidRPr="00E816DA">
        <w:rPr>
          <w:color w:val="FFFFFF" w:themeColor="background1"/>
          <w:sz w:val="18"/>
        </w:rPr>
        <w:t>j</w:t>
      </w:r>
      <w:proofErr w:type="gramEnd"/>
    </w:p>
    <w:p w14:paraId="254ABA5F" w14:textId="77777777" w:rsidR="00E816DA" w:rsidRDefault="00E816DA" w:rsidP="00E816DA">
      <w:r>
        <w:t xml:space="preserve">     Dès que les </w:t>
      </w:r>
      <w:r w:rsidRPr="00E816DA">
        <w:rPr>
          <w:b/>
        </w:rPr>
        <w:t>charges indirectes</w:t>
      </w:r>
      <w:r>
        <w:t xml:space="preserve"> de l’entreprise deviennent </w:t>
      </w:r>
      <w:r w:rsidRPr="00E816DA">
        <w:rPr>
          <w:b/>
        </w:rPr>
        <w:t>majoritaires</w:t>
      </w:r>
      <w:r>
        <w:t xml:space="preserve">, la méthode des coûts complets n’est plus adaptée. Elle imputait les charges indirectes aux coûts des produits au travers d’un tableau de répartition, sur la base d’unités d’œuvre définies de façon plus ou moins arbitraires et conventionnelles. </w:t>
      </w:r>
    </w:p>
    <w:p w14:paraId="3EDC97CB" w14:textId="77777777" w:rsidR="00E816DA" w:rsidRDefault="00E816DA" w:rsidP="00E816DA">
      <w:r>
        <w:t xml:space="preserve">     Afin d’éviter le problème de ventilation de ces charges, on utilise la </w:t>
      </w:r>
      <w:r w:rsidRPr="00E816DA">
        <w:rPr>
          <w:b/>
          <w:u w:val="single"/>
        </w:rPr>
        <w:t>méthode des coûts partiels</w:t>
      </w:r>
      <w:r>
        <w:t xml:space="preserve"> qui consistent à ne retraiter qu’une partie des charges. La méthode des coûts variables propose en effet, de travailler essentiellement sur les charges variables : c’est une approche des coûts partiels.</w:t>
      </w:r>
      <w:r>
        <w:br/>
      </w:r>
    </w:p>
    <w:tbl>
      <w:tblPr>
        <w:tblStyle w:val="Grilledutableau"/>
        <w:tblW w:w="0" w:type="auto"/>
        <w:tblLook w:val="04A0" w:firstRow="1" w:lastRow="0" w:firstColumn="1" w:lastColumn="0" w:noHBand="0" w:noVBand="1"/>
      </w:tblPr>
      <w:tblGrid>
        <w:gridCol w:w="4531"/>
        <w:gridCol w:w="4531"/>
      </w:tblGrid>
      <w:tr w:rsidR="00E816DA" w:rsidRPr="00E816DA" w14:paraId="154F988D" w14:textId="77777777" w:rsidTr="00E816DA">
        <w:tc>
          <w:tcPr>
            <w:tcW w:w="4531" w:type="dxa"/>
          </w:tcPr>
          <w:p w14:paraId="2FB812F3" w14:textId="77777777" w:rsidR="00E816DA" w:rsidRPr="00E816DA" w:rsidRDefault="00E816DA" w:rsidP="00E816DA">
            <w:pPr>
              <w:jc w:val="center"/>
              <w:rPr>
                <w:b/>
                <w:sz w:val="24"/>
              </w:rPr>
            </w:pPr>
            <w:r w:rsidRPr="00E816DA">
              <w:rPr>
                <w:b/>
                <w:sz w:val="24"/>
              </w:rPr>
              <w:t>Méthode des coûts complets</w:t>
            </w:r>
          </w:p>
        </w:tc>
        <w:tc>
          <w:tcPr>
            <w:tcW w:w="4531" w:type="dxa"/>
          </w:tcPr>
          <w:p w14:paraId="43BBC3B4" w14:textId="77777777" w:rsidR="00E816DA" w:rsidRPr="00E816DA" w:rsidRDefault="00E816DA" w:rsidP="00E816DA">
            <w:pPr>
              <w:jc w:val="center"/>
              <w:rPr>
                <w:b/>
                <w:sz w:val="24"/>
              </w:rPr>
            </w:pPr>
            <w:r w:rsidRPr="00E816DA">
              <w:rPr>
                <w:b/>
                <w:sz w:val="24"/>
              </w:rPr>
              <w:t>Méthodes des coûts partiels.</w:t>
            </w:r>
          </w:p>
        </w:tc>
      </w:tr>
      <w:tr w:rsidR="00E816DA" w14:paraId="0600B6E7" w14:textId="77777777" w:rsidTr="00E816DA">
        <w:tc>
          <w:tcPr>
            <w:tcW w:w="4531" w:type="dxa"/>
          </w:tcPr>
          <w:p w14:paraId="299C09A1" w14:textId="77777777" w:rsidR="00E816DA" w:rsidRDefault="00E816DA" w:rsidP="00E816DA">
            <w:r w:rsidRPr="00E816DA">
              <w:rPr>
                <w:b/>
              </w:rPr>
              <w:t xml:space="preserve">CA </w:t>
            </w:r>
            <w:r>
              <w:t xml:space="preserve">– coûts complets (charges totales) = RESULTAT. </w:t>
            </w:r>
          </w:p>
        </w:tc>
        <w:tc>
          <w:tcPr>
            <w:tcW w:w="4531" w:type="dxa"/>
          </w:tcPr>
          <w:p w14:paraId="622A2600" w14:textId="77777777" w:rsidR="00E816DA" w:rsidRDefault="00E816DA" w:rsidP="00E816DA">
            <w:r w:rsidRPr="00E816DA">
              <w:rPr>
                <w:b/>
              </w:rPr>
              <w:t>CA</w:t>
            </w:r>
            <w:r>
              <w:t xml:space="preserve"> – coût partiel (charges retenues) = marge sur coût variable </w:t>
            </w:r>
            <w:r>
              <w:br/>
              <w:t xml:space="preserve">Marge sur coût variable – charges non retenues = RESULTAT. </w:t>
            </w:r>
          </w:p>
        </w:tc>
      </w:tr>
    </w:tbl>
    <w:p w14:paraId="64757AC8" w14:textId="77777777" w:rsidR="00E816DA" w:rsidRDefault="00E816DA" w:rsidP="00E816DA"/>
    <w:p w14:paraId="09F433B6" w14:textId="77777777" w:rsidR="00E816DA" w:rsidRDefault="00E816DA" w:rsidP="00E816DA">
      <w:pPr>
        <w:pStyle w:val="Paragraphedeliste"/>
        <w:numPr>
          <w:ilvl w:val="0"/>
          <w:numId w:val="9"/>
        </w:numPr>
        <w:ind w:left="0" w:firstLine="360"/>
      </w:pPr>
      <w:r>
        <w:lastRenderedPageBreak/>
        <w:t>Le PCG (plan comptable général) distingue les charges opérationnelles (charges variables : MOD, consommation, MP) et les charges de structure (charges fixes : loyers, primes d’assurances).</w:t>
      </w:r>
    </w:p>
    <w:p w14:paraId="7870738D" w14:textId="77777777" w:rsidR="00E816DA" w:rsidRDefault="00E816DA" w:rsidP="00E816DA">
      <w:r>
        <w:t xml:space="preserve"> </w:t>
      </w:r>
    </w:p>
    <w:p w14:paraId="0D0DEF66" w14:textId="77777777" w:rsidR="002B1C21" w:rsidRPr="002B1C21" w:rsidRDefault="002B1C21" w:rsidP="002B1C21">
      <w:pPr>
        <w:pStyle w:val="Titre3"/>
      </w:pPr>
      <w:r>
        <w:t xml:space="preserve">Justification de la méthode. </w:t>
      </w:r>
    </w:p>
    <w:p w14:paraId="6AA5C33D" w14:textId="77777777" w:rsidR="002B1C21" w:rsidRDefault="007A37E1" w:rsidP="002B1C21">
      <w:r>
        <w:t xml:space="preserve">     Elle se justifie dans les entreprises commerciales où la proportion des charges variables est importante. Dans ce type d’entreprise, les charges sont essentiellement constituées du coût des marchandises revendues en l’état. </w:t>
      </w:r>
    </w:p>
    <w:p w14:paraId="743FFB49" w14:textId="77777777" w:rsidR="007A37E1" w:rsidRDefault="007A37E1" w:rsidP="002B1C21">
      <w:r>
        <w:t xml:space="preserve">     Les charges fixes étant faibles, la gestion du coût variable facilite l’établissement du budget. </w:t>
      </w:r>
      <w:r>
        <w:br/>
      </w:r>
    </w:p>
    <w:p w14:paraId="55981096" w14:textId="77777777" w:rsidR="007A37E1" w:rsidRDefault="007A37E1" w:rsidP="007A37E1">
      <w:pPr>
        <w:pStyle w:val="Titre3"/>
      </w:pPr>
      <w:r>
        <w:t xml:space="preserve">Les étapes de la méthode. </w:t>
      </w:r>
    </w:p>
    <w:p w14:paraId="45C12814" w14:textId="77777777" w:rsidR="007A37E1" w:rsidRDefault="007A37E1" w:rsidP="007A37E1">
      <w:pPr>
        <w:pStyle w:val="Paragraphedeliste"/>
        <w:numPr>
          <w:ilvl w:val="0"/>
          <w:numId w:val="10"/>
        </w:numPr>
      </w:pPr>
      <w:r>
        <w:t xml:space="preserve">Calcul du CA. </w:t>
      </w:r>
    </w:p>
    <w:p w14:paraId="1E2B5C16" w14:textId="77777777" w:rsidR="007A37E1" w:rsidRDefault="007A37E1" w:rsidP="007A37E1">
      <w:pPr>
        <w:pStyle w:val="Paragraphedeliste"/>
        <w:numPr>
          <w:ilvl w:val="0"/>
          <w:numId w:val="10"/>
        </w:numPr>
      </w:pPr>
      <w:r>
        <w:t xml:space="preserve">Recensement et ventilation des charges en coût variable et en coût fixe. Ces coûts proviennent des charges incorporables déjà partagées entre charges directes et charges indirectes. </w:t>
      </w:r>
    </w:p>
    <w:tbl>
      <w:tblPr>
        <w:tblStyle w:val="Grilledutableau"/>
        <w:tblW w:w="0" w:type="auto"/>
        <w:tblLook w:val="04A0" w:firstRow="1" w:lastRow="0" w:firstColumn="1" w:lastColumn="0" w:noHBand="0" w:noVBand="1"/>
      </w:tblPr>
      <w:tblGrid>
        <w:gridCol w:w="3020"/>
        <w:gridCol w:w="3021"/>
        <w:gridCol w:w="3021"/>
      </w:tblGrid>
      <w:tr w:rsidR="007A37E1" w:rsidRPr="007A37E1" w14:paraId="32982085" w14:textId="77777777" w:rsidTr="007A37E1">
        <w:tc>
          <w:tcPr>
            <w:tcW w:w="3020" w:type="dxa"/>
          </w:tcPr>
          <w:p w14:paraId="00788326" w14:textId="77777777" w:rsidR="007A37E1" w:rsidRPr="007A37E1" w:rsidRDefault="007A37E1" w:rsidP="007A37E1">
            <w:pPr>
              <w:rPr>
                <w:b/>
                <w:sz w:val="24"/>
              </w:rPr>
            </w:pPr>
          </w:p>
        </w:tc>
        <w:tc>
          <w:tcPr>
            <w:tcW w:w="3021" w:type="dxa"/>
          </w:tcPr>
          <w:p w14:paraId="2A4C0366" w14:textId="77777777" w:rsidR="007A37E1" w:rsidRPr="007A37E1" w:rsidRDefault="007A37E1" w:rsidP="007A37E1">
            <w:pPr>
              <w:rPr>
                <w:b/>
                <w:sz w:val="24"/>
              </w:rPr>
            </w:pPr>
            <w:r w:rsidRPr="007A37E1">
              <w:rPr>
                <w:b/>
                <w:sz w:val="24"/>
              </w:rPr>
              <w:t>Charges variables</w:t>
            </w:r>
          </w:p>
        </w:tc>
        <w:tc>
          <w:tcPr>
            <w:tcW w:w="3021" w:type="dxa"/>
          </w:tcPr>
          <w:p w14:paraId="412B3B8B" w14:textId="77777777" w:rsidR="007A37E1" w:rsidRPr="007A37E1" w:rsidRDefault="007A37E1" w:rsidP="007A37E1">
            <w:pPr>
              <w:rPr>
                <w:b/>
                <w:sz w:val="24"/>
              </w:rPr>
            </w:pPr>
            <w:r w:rsidRPr="007A37E1">
              <w:rPr>
                <w:b/>
                <w:sz w:val="24"/>
              </w:rPr>
              <w:t>Charges fixes</w:t>
            </w:r>
          </w:p>
        </w:tc>
      </w:tr>
      <w:tr w:rsidR="007A37E1" w14:paraId="601F74FD" w14:textId="77777777" w:rsidTr="007A37E1">
        <w:tc>
          <w:tcPr>
            <w:tcW w:w="3020" w:type="dxa"/>
          </w:tcPr>
          <w:p w14:paraId="11246862" w14:textId="77777777" w:rsidR="007A37E1" w:rsidRPr="007A37E1" w:rsidRDefault="007A37E1" w:rsidP="007A37E1">
            <w:pPr>
              <w:rPr>
                <w:b/>
                <w:sz w:val="24"/>
              </w:rPr>
            </w:pPr>
            <w:r w:rsidRPr="007A37E1">
              <w:rPr>
                <w:b/>
                <w:sz w:val="24"/>
              </w:rPr>
              <w:t>Charges directes</w:t>
            </w:r>
          </w:p>
        </w:tc>
        <w:tc>
          <w:tcPr>
            <w:tcW w:w="3021" w:type="dxa"/>
          </w:tcPr>
          <w:p w14:paraId="3CC537D1" w14:textId="77777777" w:rsidR="007A37E1" w:rsidRDefault="007A37E1" w:rsidP="007A37E1">
            <w:pPr>
              <w:jc w:val="center"/>
            </w:pPr>
            <w:r>
              <w:t>Incorporées</w:t>
            </w:r>
          </w:p>
        </w:tc>
        <w:tc>
          <w:tcPr>
            <w:tcW w:w="3021" w:type="dxa"/>
          </w:tcPr>
          <w:p w14:paraId="74FB19F3" w14:textId="77777777" w:rsidR="007A37E1" w:rsidRDefault="007A37E1" w:rsidP="007A37E1">
            <w:pPr>
              <w:jc w:val="center"/>
            </w:pPr>
            <w:r>
              <w:t>Non incorporées.</w:t>
            </w:r>
          </w:p>
        </w:tc>
      </w:tr>
      <w:tr w:rsidR="007A37E1" w14:paraId="5E8C67A8" w14:textId="77777777" w:rsidTr="007A37E1">
        <w:tc>
          <w:tcPr>
            <w:tcW w:w="3020" w:type="dxa"/>
          </w:tcPr>
          <w:p w14:paraId="31D7F58A" w14:textId="77777777" w:rsidR="007A37E1" w:rsidRPr="007A37E1" w:rsidRDefault="007A37E1" w:rsidP="007A37E1">
            <w:pPr>
              <w:rPr>
                <w:b/>
                <w:sz w:val="24"/>
              </w:rPr>
            </w:pPr>
            <w:r w:rsidRPr="007A37E1">
              <w:rPr>
                <w:b/>
                <w:sz w:val="24"/>
              </w:rPr>
              <w:t>Charges indirectes</w:t>
            </w:r>
          </w:p>
        </w:tc>
        <w:tc>
          <w:tcPr>
            <w:tcW w:w="3021" w:type="dxa"/>
          </w:tcPr>
          <w:p w14:paraId="44F36AA0" w14:textId="77777777" w:rsidR="007A37E1" w:rsidRDefault="007A37E1" w:rsidP="007A37E1">
            <w:pPr>
              <w:jc w:val="center"/>
            </w:pPr>
            <w:r>
              <w:t>Incorporées</w:t>
            </w:r>
          </w:p>
        </w:tc>
        <w:tc>
          <w:tcPr>
            <w:tcW w:w="3021" w:type="dxa"/>
          </w:tcPr>
          <w:p w14:paraId="494E5E81" w14:textId="77777777" w:rsidR="007A37E1" w:rsidRDefault="007A37E1" w:rsidP="007A37E1">
            <w:pPr>
              <w:jc w:val="center"/>
            </w:pPr>
            <w:r>
              <w:t>Non incorporées.</w:t>
            </w:r>
          </w:p>
        </w:tc>
      </w:tr>
      <w:tr w:rsidR="007A37E1" w14:paraId="246EBA02" w14:textId="77777777" w:rsidTr="007A37E1">
        <w:tc>
          <w:tcPr>
            <w:tcW w:w="3020" w:type="dxa"/>
          </w:tcPr>
          <w:p w14:paraId="4B718E58" w14:textId="77777777" w:rsidR="007A37E1" w:rsidRPr="007A37E1" w:rsidRDefault="007A37E1" w:rsidP="007A37E1">
            <w:pPr>
              <w:rPr>
                <w:b/>
                <w:sz w:val="24"/>
              </w:rPr>
            </w:pPr>
            <w:r w:rsidRPr="007A37E1">
              <w:rPr>
                <w:b/>
                <w:sz w:val="24"/>
              </w:rPr>
              <w:t>Totaux</w:t>
            </w:r>
          </w:p>
        </w:tc>
        <w:tc>
          <w:tcPr>
            <w:tcW w:w="3021" w:type="dxa"/>
          </w:tcPr>
          <w:p w14:paraId="5E6E988A" w14:textId="77777777" w:rsidR="007A37E1" w:rsidRDefault="007A37E1" w:rsidP="007A37E1">
            <w:pPr>
              <w:jc w:val="center"/>
            </w:pPr>
            <w:r>
              <w:t>Coût variable</w:t>
            </w:r>
          </w:p>
        </w:tc>
        <w:tc>
          <w:tcPr>
            <w:tcW w:w="3021" w:type="dxa"/>
          </w:tcPr>
          <w:p w14:paraId="53DEC66A" w14:textId="77777777" w:rsidR="007A37E1" w:rsidRDefault="007A37E1" w:rsidP="007A37E1">
            <w:pPr>
              <w:jc w:val="center"/>
            </w:pPr>
            <w:r>
              <w:t>Coût fixe.</w:t>
            </w:r>
          </w:p>
        </w:tc>
      </w:tr>
    </w:tbl>
    <w:p w14:paraId="46E2AEFA" w14:textId="77777777" w:rsidR="007A37E1" w:rsidRDefault="007A37E1" w:rsidP="007A37E1">
      <w:pPr>
        <w:pStyle w:val="Paragraphedeliste"/>
        <w:ind w:left="405"/>
      </w:pPr>
    </w:p>
    <w:p w14:paraId="015F74E8" w14:textId="77777777" w:rsidR="007A37E1" w:rsidRDefault="007A37E1" w:rsidP="007A37E1">
      <w:pPr>
        <w:pStyle w:val="Paragraphedeliste"/>
        <w:numPr>
          <w:ilvl w:val="0"/>
          <w:numId w:val="10"/>
        </w:numPr>
      </w:pPr>
      <w:r>
        <w:t xml:space="preserve">Calcul de la marge sur coût variable. </w:t>
      </w:r>
    </w:p>
    <w:p w14:paraId="461491B7" w14:textId="77777777" w:rsidR="007A37E1" w:rsidRPr="002B1C21" w:rsidRDefault="007A37E1" w:rsidP="007A37E1">
      <w:pPr>
        <w:pStyle w:val="Paragraphedeliste"/>
        <w:numPr>
          <w:ilvl w:val="0"/>
          <w:numId w:val="10"/>
        </w:numPr>
      </w:pPr>
      <w:r>
        <w:t>Calcul du résultat</w:t>
      </w:r>
      <w:r>
        <w:br/>
      </w:r>
    </w:p>
    <w:p w14:paraId="1E27047B" w14:textId="77777777" w:rsidR="002B1C21" w:rsidRDefault="002B1C21" w:rsidP="002B1C21">
      <w:pPr>
        <w:pStyle w:val="Titre2"/>
      </w:pPr>
      <w:r>
        <w:t xml:space="preserve">Comparaison des coûts. </w:t>
      </w:r>
    </w:p>
    <w:p w14:paraId="59E3B04F" w14:textId="77777777" w:rsidR="002B1C21" w:rsidRDefault="002B1C21" w:rsidP="002B1C21">
      <w:pPr>
        <w:pStyle w:val="Titre3"/>
        <w:numPr>
          <w:ilvl w:val="0"/>
          <w:numId w:val="4"/>
        </w:numPr>
      </w:pPr>
      <w:r>
        <w:t xml:space="preserve">Les coûts variables : y = </w:t>
      </w:r>
      <w:proofErr w:type="spellStart"/>
      <w:r>
        <w:t>ax</w:t>
      </w:r>
      <w:proofErr w:type="spellEnd"/>
      <w:r>
        <w:t xml:space="preserve">. </w:t>
      </w:r>
    </w:p>
    <w:p w14:paraId="0EEFA76F" w14:textId="77777777" w:rsidR="00884805" w:rsidRPr="00884805" w:rsidRDefault="00884805" w:rsidP="00884805">
      <w:pPr>
        <w:rPr>
          <w:b/>
        </w:rPr>
      </w:pPr>
      <w:r w:rsidRPr="00884805">
        <w:rPr>
          <w:b/>
        </w:rPr>
        <w:t xml:space="preserve">Les coûts variables dépendent du niveau d’activité. </w:t>
      </w:r>
    </w:p>
    <w:p w14:paraId="1AF713E9" w14:textId="77777777" w:rsidR="00884805" w:rsidRDefault="00884805" w:rsidP="00884805">
      <w:r>
        <w:t xml:space="preserve">SHEMA 1 + 2  (les coûts d’entreprise dépendent du niveau d’activité). </w:t>
      </w:r>
    </w:p>
    <w:p w14:paraId="13C3892B" w14:textId="77777777" w:rsidR="00884805" w:rsidRPr="00884805" w:rsidRDefault="00884805" w:rsidP="00884805">
      <w:pPr>
        <w:pStyle w:val="Paragraphedeliste"/>
        <w:numPr>
          <w:ilvl w:val="0"/>
          <w:numId w:val="11"/>
        </w:numPr>
        <w:rPr>
          <w:u w:val="single"/>
        </w:rPr>
      </w:pPr>
      <w:r w:rsidRPr="00884805">
        <w:rPr>
          <w:u w:val="single"/>
        </w:rPr>
        <w:t xml:space="preserve">En cas d’augmentation de l’activité. </w:t>
      </w:r>
    </w:p>
    <w:p w14:paraId="4F7200F3" w14:textId="77777777" w:rsidR="00884805" w:rsidRPr="00884805" w:rsidRDefault="00884805" w:rsidP="00884805">
      <w:r>
        <w:t>SCHEMA 3 + 4</w:t>
      </w:r>
      <w:r>
        <w:br/>
      </w:r>
    </w:p>
    <w:p w14:paraId="639B4B4F" w14:textId="77777777" w:rsidR="002B1C21" w:rsidRDefault="002B1C21" w:rsidP="002B1C21">
      <w:pPr>
        <w:pStyle w:val="Titre3"/>
        <w:numPr>
          <w:ilvl w:val="0"/>
          <w:numId w:val="4"/>
        </w:numPr>
      </w:pPr>
      <w:r>
        <w:t xml:space="preserve">Les coûts fixes : y = constante. </w:t>
      </w:r>
    </w:p>
    <w:p w14:paraId="57A4F827" w14:textId="77777777" w:rsidR="00884805" w:rsidRPr="00884805" w:rsidRDefault="00884805" w:rsidP="00884805">
      <w:r>
        <w:t>Les coûts fixes sont indépendant</w:t>
      </w:r>
      <w:r w:rsidR="002314DE">
        <w:t>s</w:t>
      </w:r>
      <w:r>
        <w:t xml:space="preserve"> du niveau d’activité. </w:t>
      </w:r>
    </w:p>
    <w:p w14:paraId="6ED0E3EE" w14:textId="77777777" w:rsidR="00884805" w:rsidRPr="00884805" w:rsidRDefault="00884805" w:rsidP="00884805">
      <w:r>
        <w:t xml:space="preserve">     Si on veut avoir une activité supérieure </w:t>
      </w:r>
      <w:r>
        <w:sym w:font="Wingdings" w:char="F0E0"/>
      </w:r>
      <w:r>
        <w:t xml:space="preserve"> franchir un seuil et réaliser des investissements supplémentaires </w:t>
      </w:r>
      <w:r>
        <w:sym w:font="Wingdings" w:char="F0E0"/>
      </w:r>
      <w:r>
        <w:t xml:space="preserve"> hausse des coûts fixes. </w:t>
      </w:r>
      <w:r>
        <w:br/>
      </w:r>
    </w:p>
    <w:p w14:paraId="5EC513A6" w14:textId="77777777" w:rsidR="002B1C21" w:rsidRDefault="002B1C21" w:rsidP="002B1C21">
      <w:pPr>
        <w:pStyle w:val="Titre3"/>
        <w:numPr>
          <w:ilvl w:val="0"/>
          <w:numId w:val="4"/>
        </w:numPr>
      </w:pPr>
      <w:r>
        <w:t xml:space="preserve">Les coûts semi-variables : y = </w:t>
      </w:r>
      <w:proofErr w:type="spellStart"/>
      <w:r>
        <w:t>ax</w:t>
      </w:r>
      <w:proofErr w:type="spellEnd"/>
      <w:r>
        <w:t xml:space="preserve"> + constante. </w:t>
      </w:r>
    </w:p>
    <w:p w14:paraId="498FC09D" w14:textId="77777777" w:rsidR="002B1C21" w:rsidRPr="002B1C21" w:rsidRDefault="002B1C21" w:rsidP="002B1C21"/>
    <w:p w14:paraId="2ADD23CC" w14:textId="77777777" w:rsidR="002B1C21" w:rsidRDefault="002B1C21" w:rsidP="002B1C21">
      <w:pPr>
        <w:pStyle w:val="Titre2"/>
      </w:pPr>
      <w:r>
        <w:t xml:space="preserve">Marge sur coût variable. </w:t>
      </w:r>
    </w:p>
    <w:p w14:paraId="00B31E02" w14:textId="77777777" w:rsidR="002314DE" w:rsidRDefault="002314DE" w:rsidP="002314DE">
      <w:r>
        <w:t xml:space="preserve">    C’est la différence entre le prix de vente et un coût partiel correspondant à une marge. Lorsque le coût partiel est variable, on obtient la marge sur coût variable. La marge sur coût variable compare le chiffre réalisé sur un produit ou une activité et son coût variable. Elle compare le CA réalisé sur un produit ou une activité et son coût variable. </w:t>
      </w:r>
      <w:r w:rsidRPr="002314DE">
        <w:rPr>
          <w:color w:val="FF0000"/>
        </w:rPr>
        <w:t>MCV = CA – Coût variable</w:t>
      </w:r>
      <w:r>
        <w:t xml:space="preserve">. </w:t>
      </w:r>
    </w:p>
    <w:p w14:paraId="7292DE7B" w14:textId="77777777" w:rsidR="002314DE" w:rsidRPr="002314DE" w:rsidRDefault="002314DE" w:rsidP="002314DE">
      <w:pPr>
        <w:rPr>
          <w:rFonts w:eastAsiaTheme="minorEastAsia"/>
        </w:rPr>
      </w:pPr>
      <w:r>
        <w:lastRenderedPageBreak/>
        <w:t xml:space="preserve">     La marge peut être exprimée en pourcentage du chiffre d’affaires : taux de marge sur coût variable : </w:t>
      </w:r>
      <w:r w:rsidRPr="002314DE">
        <w:rPr>
          <w:color w:val="FF0000"/>
        </w:rPr>
        <w:t xml:space="preserve">TMCV = </w:t>
      </w:r>
      <m:oMath>
        <m:f>
          <m:fPr>
            <m:ctrlPr>
              <w:rPr>
                <w:rFonts w:ascii="Cambria Math" w:hAnsi="Cambria Math"/>
                <w:i/>
                <w:color w:val="FF0000"/>
              </w:rPr>
            </m:ctrlPr>
          </m:fPr>
          <m:num>
            <m:r>
              <w:rPr>
                <w:rFonts w:ascii="Cambria Math" w:hAnsi="Cambria Math"/>
                <w:color w:val="FF0000"/>
              </w:rPr>
              <m:t>MCV</m:t>
            </m:r>
          </m:num>
          <m:den>
            <m:r>
              <w:rPr>
                <w:rFonts w:ascii="Cambria Math" w:hAnsi="Cambria Math"/>
                <w:color w:val="FF0000"/>
              </w:rPr>
              <m:t xml:space="preserve">Chiffre </m:t>
            </m:r>
            <m:sSup>
              <m:sSupPr>
                <m:ctrlPr>
                  <w:rPr>
                    <w:rFonts w:ascii="Cambria Math" w:hAnsi="Cambria Math"/>
                    <w:i/>
                    <w:color w:val="FF0000"/>
                  </w:rPr>
                </m:ctrlPr>
              </m:sSupPr>
              <m:e>
                <m:r>
                  <w:rPr>
                    <w:rFonts w:ascii="Cambria Math" w:hAnsi="Cambria Math"/>
                    <w:color w:val="FF0000"/>
                  </w:rPr>
                  <m:t>d</m:t>
                </m:r>
              </m:e>
              <m:sup>
                <m:r>
                  <w:rPr>
                    <w:rFonts w:ascii="Cambria Math" w:hAnsi="Cambria Math"/>
                    <w:color w:val="FF0000"/>
                  </w:rPr>
                  <m:t>'</m:t>
                </m:r>
              </m:sup>
            </m:sSup>
            <m:r>
              <w:rPr>
                <w:rFonts w:ascii="Cambria Math" w:hAnsi="Cambria Math"/>
                <w:color w:val="FF0000"/>
              </w:rPr>
              <m:t>affaires</m:t>
            </m:r>
          </m:den>
        </m:f>
        <m:r>
          <w:rPr>
            <w:rFonts w:ascii="Cambria Math" w:hAnsi="Cambria Math"/>
            <w:color w:val="FF0000"/>
          </w:rPr>
          <m:t>× 100</m:t>
        </m:r>
      </m:oMath>
    </w:p>
    <w:p w14:paraId="076E17E3" w14:textId="77777777" w:rsidR="002314DE" w:rsidRPr="002314DE" w:rsidRDefault="002314DE" w:rsidP="002314DE">
      <w:pPr>
        <w:pStyle w:val="Paragraphedeliste"/>
        <w:numPr>
          <w:ilvl w:val="0"/>
          <w:numId w:val="12"/>
        </w:numPr>
        <w:rPr>
          <w:rFonts w:eastAsiaTheme="minorEastAsia"/>
        </w:rPr>
      </w:pPr>
      <w:r w:rsidRPr="002314DE">
        <w:rPr>
          <w:rFonts w:eastAsiaTheme="minorEastAsia"/>
        </w:rPr>
        <w:t xml:space="preserve">MCV = </w:t>
      </w:r>
      <m:oMath>
        <m:r>
          <w:rPr>
            <w:rFonts w:ascii="Cambria Math" w:eastAsiaTheme="minorEastAsia" w:hAnsi="Cambria Math"/>
          </w:rPr>
          <m:t xml:space="preserve">TMCV ×Chiffres </m:t>
        </m:r>
        <m:sSup>
          <m:sSupPr>
            <m:ctrlPr>
              <w:rPr>
                <w:rFonts w:ascii="Cambria Math" w:eastAsiaTheme="minorEastAsia" w:hAnsi="Cambria Math"/>
                <w:i/>
                <w:lang w:val="en-GB"/>
              </w:rPr>
            </m:ctrlPr>
          </m:sSupPr>
          <m:e>
            <m:r>
              <w:rPr>
                <w:rFonts w:ascii="Cambria Math" w:eastAsiaTheme="minorEastAsia" w:hAnsi="Cambria Math"/>
              </w:rPr>
              <m:t>d</m:t>
            </m:r>
          </m:e>
          <m:sup>
            <m:r>
              <w:rPr>
                <w:rFonts w:ascii="Cambria Math" w:eastAsiaTheme="minorEastAsia" w:hAnsi="Cambria Math"/>
              </w:rPr>
              <m:t>'</m:t>
            </m:r>
          </m:sup>
        </m:sSup>
        <m:r>
          <w:rPr>
            <w:rFonts w:ascii="Cambria Math" w:eastAsiaTheme="minorEastAsia" w:hAnsi="Cambria Math"/>
          </w:rPr>
          <m:t>affaires</m:t>
        </m:r>
      </m:oMath>
    </w:p>
    <w:p w14:paraId="25972094" w14:textId="77777777" w:rsidR="002314DE" w:rsidRPr="002314DE" w:rsidRDefault="002314DE" w:rsidP="002314DE">
      <w:pPr>
        <w:pStyle w:val="Paragraphedeliste"/>
        <w:numPr>
          <w:ilvl w:val="0"/>
          <w:numId w:val="12"/>
        </w:numPr>
        <w:rPr>
          <w:rFonts w:eastAsiaTheme="minorEastAsia"/>
        </w:rPr>
      </w:pPr>
      <w:r w:rsidRPr="002314DE">
        <w:rPr>
          <w:rFonts w:eastAsiaTheme="minorEastAsia"/>
        </w:rPr>
        <w:t xml:space="preserve">MCV Unitaire = </w:t>
      </w:r>
      <m:oMath>
        <m:r>
          <w:rPr>
            <w:rFonts w:ascii="Cambria Math" w:eastAsiaTheme="minorEastAsia" w:hAnsi="Cambria Math"/>
          </w:rPr>
          <m:t>Prix de vente unitaire-coût variable unitaire</m:t>
        </m:r>
      </m:oMath>
    </w:p>
    <w:p w14:paraId="31C9A1B0" w14:textId="77777777" w:rsidR="002314DE" w:rsidRPr="002314DE" w:rsidRDefault="002314DE" w:rsidP="002314DE">
      <w:pPr>
        <w:pStyle w:val="Paragraphedeliste"/>
        <w:numPr>
          <w:ilvl w:val="0"/>
          <w:numId w:val="12"/>
        </w:numPr>
        <w:rPr>
          <w:rFonts w:eastAsiaTheme="minorEastAsia"/>
        </w:rPr>
      </w:pPr>
      <w:r w:rsidRPr="002314DE">
        <w:rPr>
          <w:rFonts w:eastAsiaTheme="minorEastAsia"/>
        </w:rPr>
        <w:t xml:space="preserve">MCV – Coût fixe = Résultat. </w:t>
      </w:r>
    </w:p>
    <w:p w14:paraId="1F4CA133" w14:textId="77777777" w:rsidR="002B1C21" w:rsidRPr="002314DE" w:rsidRDefault="002B1C21" w:rsidP="002B1C21"/>
    <w:p w14:paraId="59D0E736" w14:textId="77777777" w:rsidR="002B1C21" w:rsidRDefault="002B1C21" w:rsidP="002B1C21">
      <w:pPr>
        <w:pStyle w:val="Titre2"/>
      </w:pPr>
      <w:r>
        <w:t xml:space="preserve">Seuil de rentabilité. </w:t>
      </w:r>
    </w:p>
    <w:p w14:paraId="3E42D99C" w14:textId="77777777" w:rsidR="002314DE" w:rsidRDefault="002314DE" w:rsidP="002314DE">
      <w:r>
        <w:t xml:space="preserve">     Le seuil de rentabilité est la valeur du CA pour laquelle l’entreprise ne fait ni perte, ni bénéfice. C’est un outil de gestion prévisionnelle qui permet d’apprécier : l’impact d’une variation du chiffre d’affaires sur les bénéfices de l’entreprise, ou encore  le chiffre d’affaires nécessaire pour atteindre un bénéfice désiré. </w:t>
      </w:r>
    </w:p>
    <w:p w14:paraId="25A30B18" w14:textId="77777777" w:rsidR="002314DE" w:rsidRDefault="002314DE" w:rsidP="002314DE">
      <w:pPr>
        <w:pStyle w:val="Paragraphedeliste"/>
        <w:numPr>
          <w:ilvl w:val="0"/>
          <w:numId w:val="13"/>
        </w:numPr>
      </w:pPr>
      <w:r>
        <w:t xml:space="preserve">CA = Seuil de rentabilité </w:t>
      </w:r>
      <w:r>
        <w:sym w:font="Wingdings" w:char="F0E0"/>
      </w:r>
      <w:r>
        <w:t xml:space="preserve"> Résultat nul. </w:t>
      </w:r>
    </w:p>
    <w:p w14:paraId="7AED4DE3" w14:textId="77777777" w:rsidR="002314DE" w:rsidRDefault="002314DE" w:rsidP="002314DE">
      <w:pPr>
        <w:pStyle w:val="Paragraphedeliste"/>
        <w:numPr>
          <w:ilvl w:val="0"/>
          <w:numId w:val="13"/>
        </w:numPr>
      </w:pPr>
      <w:r>
        <w:t xml:space="preserve">CA &gt; Seuil de rentabilité </w:t>
      </w:r>
      <w:r>
        <w:sym w:font="Wingdings" w:char="F0E0"/>
      </w:r>
      <w:r>
        <w:t xml:space="preserve"> Bénéfice. </w:t>
      </w:r>
    </w:p>
    <w:p w14:paraId="7CD20A2D" w14:textId="77777777" w:rsidR="002314DE" w:rsidRDefault="002314DE" w:rsidP="002314DE">
      <w:pPr>
        <w:pStyle w:val="Paragraphedeliste"/>
        <w:numPr>
          <w:ilvl w:val="0"/>
          <w:numId w:val="13"/>
        </w:numPr>
      </w:pPr>
      <w:r>
        <w:t xml:space="preserve">CA &lt; Seuil de rentabilité </w:t>
      </w:r>
      <w:r>
        <w:sym w:font="Wingdings" w:char="F0E0"/>
      </w:r>
      <w:r>
        <w:t xml:space="preserve"> Perte. </w:t>
      </w:r>
    </w:p>
    <w:p w14:paraId="20DD6559" w14:textId="77777777" w:rsidR="002314DE" w:rsidRPr="002314DE" w:rsidRDefault="002314DE" w:rsidP="002314DE">
      <w:r>
        <w:t xml:space="preserve">     Il est exprimé en euros, mais il peut être également en unités physiques (nombre de produits, tonnes).</w:t>
      </w:r>
    </w:p>
    <w:p w14:paraId="6885CAB1" w14:textId="77777777" w:rsidR="002B1C21" w:rsidRDefault="002B1C21" w:rsidP="002B1C21">
      <w:pPr>
        <w:pStyle w:val="Titre3"/>
        <w:numPr>
          <w:ilvl w:val="0"/>
          <w:numId w:val="7"/>
        </w:numPr>
      </w:pPr>
      <w:r>
        <w:t xml:space="preserve">Calcul du SR. </w:t>
      </w:r>
    </w:p>
    <w:p w14:paraId="6FBDCD74" w14:textId="77777777" w:rsidR="002314DE" w:rsidRDefault="002314DE" w:rsidP="002314DE">
      <w:r>
        <w:t xml:space="preserve">     Le SR est atteint lorsque la marge sur coût variable est égale aux charges fixes. </w:t>
      </w:r>
    </w:p>
    <w:p w14:paraId="5F7FBD38" w14:textId="77777777" w:rsidR="00062BB8" w:rsidRDefault="00062BB8" w:rsidP="002314DE">
      <w:r>
        <w:t xml:space="preserve"> Résultat de l’entreprise = MCV – Charges fixes. Le SR est le CA tel que le résultat = 0. </w:t>
      </w:r>
    </w:p>
    <w:tbl>
      <w:tblPr>
        <w:tblStyle w:val="Grilledutableau"/>
        <w:tblpPr w:leftFromText="141" w:rightFromText="141" w:vertAnchor="text" w:horzAnchor="margin" w:tblpXSpec="right" w:tblpY="121"/>
        <w:tblW w:w="0" w:type="auto"/>
        <w:tblLook w:val="04A0" w:firstRow="1" w:lastRow="0" w:firstColumn="1" w:lastColumn="0" w:noHBand="0" w:noVBand="1"/>
      </w:tblPr>
      <w:tblGrid>
        <w:gridCol w:w="2521"/>
      </w:tblGrid>
      <w:tr w:rsidR="00062BB8" w:rsidRPr="00062BB8" w14:paraId="6A4054CA" w14:textId="77777777" w:rsidTr="00062BB8">
        <w:trPr>
          <w:trHeight w:val="967"/>
        </w:trPr>
        <w:tc>
          <w:tcPr>
            <w:tcW w:w="2521" w:type="dxa"/>
          </w:tcPr>
          <w:p w14:paraId="428B04B4" w14:textId="77777777" w:rsidR="00062BB8" w:rsidRPr="00062BB8" w:rsidRDefault="00062BB8" w:rsidP="00062BB8">
            <w:pPr>
              <w:rPr>
                <w:rFonts w:eastAsiaTheme="minorEastAsia"/>
              </w:rPr>
            </w:pPr>
            <w:r w:rsidRPr="00062BB8">
              <w:rPr>
                <w:rFonts w:eastAsiaTheme="minorEastAsia"/>
                <w:sz w:val="18"/>
              </w:rPr>
              <w:t>MCV = marge sur coût variable</w:t>
            </w:r>
            <w:r w:rsidRPr="00062BB8">
              <w:rPr>
                <w:rFonts w:eastAsiaTheme="minorEastAsia"/>
                <w:sz w:val="18"/>
              </w:rPr>
              <w:br/>
              <w:t>CA = chiffre d’affaires</w:t>
            </w:r>
            <w:r w:rsidRPr="00062BB8">
              <w:rPr>
                <w:rFonts w:eastAsiaTheme="minorEastAsia"/>
                <w:sz w:val="18"/>
              </w:rPr>
              <w:br/>
              <w:t>SR = seuil de rentabilité</w:t>
            </w:r>
            <w:r w:rsidRPr="00062BB8">
              <w:rPr>
                <w:rFonts w:eastAsiaTheme="minorEastAsia"/>
                <w:sz w:val="18"/>
              </w:rPr>
              <w:br/>
              <w:t>CV = charges variables</w:t>
            </w:r>
            <w:r w:rsidRPr="00062BB8">
              <w:rPr>
                <w:rFonts w:eastAsiaTheme="minorEastAsia"/>
                <w:sz w:val="18"/>
              </w:rPr>
              <w:br/>
              <w:t xml:space="preserve">CF = charges fixes. </w:t>
            </w:r>
          </w:p>
        </w:tc>
      </w:tr>
    </w:tbl>
    <w:p w14:paraId="4101BCB3" w14:textId="77777777" w:rsidR="00062BB8" w:rsidRDefault="00062BB8" w:rsidP="002314DE">
      <w:pPr>
        <w:rPr>
          <w:rFonts w:eastAsiaTheme="minorEastAsia"/>
        </w:rPr>
      </w:pPr>
      <m:oMathPara>
        <m:oMath>
          <m:r>
            <w:rPr>
              <w:rFonts w:ascii="Cambria Math" w:hAnsi="Cambria Math"/>
              <w:color w:val="FF0000"/>
            </w:rPr>
            <m:t>SR=</m:t>
          </m:r>
          <m:f>
            <m:fPr>
              <m:ctrlPr>
                <w:rPr>
                  <w:rFonts w:ascii="Cambria Math" w:hAnsi="Cambria Math"/>
                  <w:i/>
                  <w:color w:val="FF0000"/>
                </w:rPr>
              </m:ctrlPr>
            </m:fPr>
            <m:num>
              <m:r>
                <w:rPr>
                  <w:rFonts w:ascii="Cambria Math" w:hAnsi="Cambria Math"/>
                  <w:color w:val="FF0000"/>
                </w:rPr>
                <m:t>Coûts fixes</m:t>
              </m:r>
              <m:ctrlPr>
                <w:rPr>
                  <w:rFonts w:ascii="Cambria Math" w:hAnsi="Cambria Math"/>
                  <w:i/>
                  <w:color w:val="FF0000"/>
                  <w:lang w:val="en-GB"/>
                </w:rPr>
              </m:ctrlPr>
            </m:num>
            <m:den>
              <m:r>
                <w:rPr>
                  <w:rFonts w:ascii="Cambria Math" w:hAnsi="Cambria Math"/>
                  <w:color w:val="FF0000"/>
                </w:rPr>
                <m:t>Taux de marge sur coût variable</m:t>
              </m:r>
            </m:den>
          </m:f>
          <m:r>
            <w:rPr>
              <w:rFonts w:ascii="Cambria Math" w:hAnsi="Cambria Math"/>
              <w:color w:val="FF0000"/>
            </w:rPr>
            <m:t>=CF×</m:t>
          </m:r>
          <m:f>
            <m:fPr>
              <m:ctrlPr>
                <w:rPr>
                  <w:rFonts w:ascii="Cambria Math" w:hAnsi="Cambria Math"/>
                  <w:i/>
                  <w:color w:val="FF0000"/>
                </w:rPr>
              </m:ctrlPr>
            </m:fPr>
            <m:num>
              <m:r>
                <w:rPr>
                  <w:rFonts w:ascii="Cambria Math" w:hAnsi="Cambria Math"/>
                  <w:color w:val="FF0000"/>
                </w:rPr>
                <m:t>CA</m:t>
              </m:r>
            </m:num>
            <m:den>
              <m:r>
                <w:rPr>
                  <w:rFonts w:ascii="Cambria Math" w:hAnsi="Cambria Math"/>
                  <w:color w:val="FF0000"/>
                </w:rPr>
                <m:t>MCV</m:t>
              </m:r>
            </m:den>
          </m:f>
        </m:oMath>
      </m:oMathPara>
    </w:p>
    <w:p w14:paraId="7AB0E768" w14:textId="77777777" w:rsidR="00062BB8" w:rsidRPr="00062BB8" w:rsidRDefault="00062BB8" w:rsidP="002314DE">
      <w:pPr>
        <w:rPr>
          <w:rFonts w:eastAsiaTheme="minorEastAsia"/>
          <w:b/>
          <w:lang w:val="es-ES"/>
        </w:rPr>
      </w:pPr>
      <w:r w:rsidRPr="00062BB8">
        <w:rPr>
          <w:rFonts w:eastAsiaTheme="minorEastAsia"/>
          <w:b/>
          <w:lang w:val="es-ES"/>
        </w:rPr>
        <w:t xml:space="preserve">R = CA – </w:t>
      </w:r>
      <w:r>
        <w:rPr>
          <w:rFonts w:eastAsiaTheme="minorEastAsia"/>
          <w:b/>
          <w:lang w:val="es-ES"/>
        </w:rPr>
        <w:t>(</w:t>
      </w:r>
      <w:r w:rsidRPr="00062BB8">
        <w:rPr>
          <w:rFonts w:eastAsiaTheme="minorEastAsia"/>
          <w:b/>
          <w:lang w:val="es-ES"/>
        </w:rPr>
        <w:t>CV – CF</w:t>
      </w:r>
      <w:r>
        <w:rPr>
          <w:rFonts w:eastAsiaTheme="minorEastAsia"/>
          <w:b/>
          <w:lang w:val="es-ES"/>
        </w:rPr>
        <w:t>)</w:t>
      </w:r>
      <w:r w:rsidRPr="00062BB8">
        <w:rPr>
          <w:rFonts w:eastAsiaTheme="minorEastAsia"/>
          <w:b/>
          <w:lang w:val="es-ES"/>
        </w:rPr>
        <w:t xml:space="preserve"> </w:t>
      </w:r>
      <w:r w:rsidR="000066B0">
        <w:rPr>
          <w:rFonts w:eastAsiaTheme="minorEastAsia"/>
          <w:b/>
          <w:lang w:val="es-ES"/>
        </w:rPr>
        <w:br/>
        <w:t xml:space="preserve">    </w:t>
      </w:r>
      <w:r w:rsidRPr="00062BB8">
        <w:rPr>
          <w:rFonts w:eastAsiaTheme="minorEastAsia"/>
          <w:b/>
          <w:lang w:val="es-ES"/>
        </w:rPr>
        <w:t xml:space="preserve">= MCV – CF. </w:t>
      </w:r>
    </w:p>
    <w:p w14:paraId="6FAA6C73" w14:textId="77777777" w:rsidR="00062BB8" w:rsidRPr="00062BB8" w:rsidRDefault="00062BB8" w:rsidP="002314DE">
      <w:pPr>
        <w:rPr>
          <w:rFonts w:eastAsiaTheme="minorEastAsia"/>
          <w:lang w:val="es-ES"/>
        </w:rPr>
      </w:pPr>
    </w:p>
    <w:p w14:paraId="780F78BA" w14:textId="77777777" w:rsidR="002B1C21" w:rsidRDefault="000066B0" w:rsidP="002B1C21">
      <w:pPr>
        <w:pStyle w:val="Titre3"/>
        <w:numPr>
          <w:ilvl w:val="0"/>
          <w:numId w:val="7"/>
        </w:numPr>
      </w:pPr>
      <w:r w:rsidRPr="000066B0">
        <w:t xml:space="preserve">Le point mort ou le point d’équilibre. </w:t>
      </w:r>
    </w:p>
    <w:p w14:paraId="049768A4" w14:textId="77777777" w:rsidR="000066B0" w:rsidRDefault="000066B0" w:rsidP="000066B0">
      <w:pPr>
        <w:rPr>
          <w:rFonts w:eastAsiaTheme="minorEastAsia"/>
        </w:rPr>
      </w:pPr>
      <w:r>
        <w:t xml:space="preserve">C’est la date à laquelle le seuil de rentabilité est atteint. Il permet de connaître le temps d’activité nécessaire pour atteindre le seuil de rentabilité. </w:t>
      </w:r>
      <w:r>
        <w:br/>
        <w:t xml:space="preserve">A partir du début d’année, pour une année de 360 jours ou 52 semaines. </w:t>
      </w:r>
      <w:r>
        <w:br/>
      </w:r>
      <w:r>
        <w:br/>
      </w:r>
      <m:oMathPara>
        <m:oMathParaPr>
          <m:jc m:val="left"/>
        </m:oMathParaPr>
        <m:oMath>
          <m:r>
            <w:rPr>
              <w:rFonts w:ascii="Cambria Math" w:hAnsi="Cambria Math"/>
            </w:rPr>
            <m:t>PM=</m:t>
          </m:r>
          <m:f>
            <m:fPr>
              <m:ctrlPr>
                <w:rPr>
                  <w:rFonts w:ascii="Cambria Math" w:hAnsi="Cambria Math"/>
                  <w:i/>
                </w:rPr>
              </m:ctrlPr>
            </m:fPr>
            <m:num>
              <m:r>
                <w:rPr>
                  <w:rFonts w:ascii="Cambria Math" w:hAnsi="Cambria Math"/>
                </w:rPr>
                <m:t>Seuil de re</m:t>
              </m:r>
              <m:r>
                <w:rPr>
                  <w:rFonts w:ascii="Cambria Math" w:hAnsi="Cambria Math"/>
                </w:rPr>
                <m:t>ntabilité</m:t>
              </m:r>
            </m:num>
            <m:den>
              <m:r>
                <w:rPr>
                  <w:rFonts w:ascii="Cambria Math" w:hAnsi="Cambria Math"/>
                </w:rPr>
                <m:t>Chiffre d'affaires</m:t>
              </m:r>
            </m:den>
          </m:f>
          <m:r>
            <w:rPr>
              <w:rFonts w:ascii="Cambria Math" w:hAnsi="Cambria Math"/>
            </w:rPr>
            <m:t xml:space="preserve">×12 </m:t>
          </m:r>
          <m:d>
            <m:dPr>
              <m:ctrlPr>
                <w:rPr>
                  <w:rFonts w:ascii="Cambria Math" w:hAnsi="Cambria Math"/>
                  <w:i/>
                </w:rPr>
              </m:ctrlPr>
            </m:dPr>
            <m:e>
              <m:r>
                <w:rPr>
                  <w:rFonts w:ascii="Cambria Math" w:hAnsi="Cambria Math"/>
                </w:rPr>
                <m:t>en mois</m:t>
              </m:r>
            </m:e>
          </m:d>
          <m:r>
            <w:rPr>
              <w:rFonts w:ascii="Cambria Math" w:hAnsi="Cambria Math"/>
            </w:rPr>
            <m:t xml:space="preserve"> OU </m:t>
          </m:r>
          <m:f>
            <m:fPr>
              <m:ctrlPr>
                <w:rPr>
                  <w:rFonts w:ascii="Cambria Math" w:hAnsi="Cambria Math"/>
                  <w:i/>
                </w:rPr>
              </m:ctrlPr>
            </m:fPr>
            <m:num>
              <m:r>
                <w:rPr>
                  <w:rFonts w:ascii="Cambria Math" w:hAnsi="Cambria Math"/>
                </w:rPr>
                <m:t>Seuil de rentabilité</m:t>
              </m:r>
            </m:num>
            <m:den>
              <m:r>
                <w:rPr>
                  <w:rFonts w:ascii="Cambria Math" w:hAnsi="Cambria Math"/>
                </w:rPr>
                <m:t>Chiffre d'affaires</m:t>
              </m:r>
            </m:den>
          </m:f>
          <m:r>
            <w:rPr>
              <w:rFonts w:ascii="Cambria Math" w:hAnsi="Cambria Math"/>
            </w:rPr>
            <m:t xml:space="preserve"> ×360 </m:t>
          </m:r>
          <m:d>
            <m:dPr>
              <m:ctrlPr>
                <w:rPr>
                  <w:rFonts w:ascii="Cambria Math" w:hAnsi="Cambria Math"/>
                  <w:i/>
                </w:rPr>
              </m:ctrlPr>
            </m:dPr>
            <m:e>
              <m:r>
                <w:rPr>
                  <w:rFonts w:ascii="Cambria Math" w:hAnsi="Cambria Math"/>
                </w:rPr>
                <m:t>en jours</m:t>
              </m:r>
            </m:e>
          </m:d>
          <m:r>
            <w:rPr>
              <w:rFonts w:ascii="Cambria Math" w:hAnsi="Cambria Math"/>
            </w:rPr>
            <m:t xml:space="preserve">. </m:t>
          </m:r>
          <m:r>
            <m:rPr>
              <m:sty m:val="p"/>
            </m:rPr>
            <w:rPr>
              <w:rFonts w:eastAsiaTheme="minorEastAsia"/>
            </w:rPr>
            <w:br/>
          </m:r>
        </m:oMath>
      </m:oMathPara>
    </w:p>
    <w:p w14:paraId="3F9612CD" w14:textId="77777777" w:rsidR="000066B0" w:rsidRDefault="000066B0" w:rsidP="000066B0">
      <w:pPr>
        <w:rPr>
          <w:rFonts w:eastAsiaTheme="minorEastAsia"/>
        </w:rPr>
      </w:pPr>
      <w:r>
        <w:rPr>
          <w:rFonts w:eastAsiaTheme="minorEastAsia"/>
        </w:rPr>
        <w:t xml:space="preserve">SHEMA. </w:t>
      </w:r>
      <w:r>
        <w:rPr>
          <w:rFonts w:eastAsiaTheme="minorEastAsia"/>
        </w:rPr>
        <w:br/>
        <w:t xml:space="preserve">Graphiquement, il est admis que le CA est constant au cours de l’année. </w:t>
      </w:r>
    </w:p>
    <w:p w14:paraId="7B5C174A" w14:textId="77777777" w:rsidR="001E1A63" w:rsidRDefault="001E1A63" w:rsidP="000066B0">
      <w:pPr>
        <w:rPr>
          <w:rFonts w:eastAsiaTheme="minorEastAsia"/>
        </w:rPr>
      </w:pPr>
    </w:p>
    <w:p w14:paraId="16F66367" w14:textId="77777777" w:rsidR="001E1A63" w:rsidRDefault="001E1A63" w:rsidP="001E1A63">
      <w:pPr>
        <w:pStyle w:val="Titre3"/>
        <w:numPr>
          <w:ilvl w:val="0"/>
          <w:numId w:val="7"/>
        </w:numPr>
        <w:rPr>
          <w:rFonts w:eastAsiaTheme="minorEastAsia"/>
        </w:rPr>
      </w:pPr>
      <w:r>
        <w:rPr>
          <w:rFonts w:eastAsiaTheme="minorEastAsia"/>
        </w:rPr>
        <w:t xml:space="preserve">La marge de sécurité (MS). </w:t>
      </w:r>
    </w:p>
    <w:p w14:paraId="05502117" w14:textId="77777777" w:rsidR="001E1A63" w:rsidRPr="001E1A63" w:rsidRDefault="001E1A63" w:rsidP="001E1A63">
      <w:r>
        <w:lastRenderedPageBreak/>
        <w:t xml:space="preserve">     La marge de sécurité désigne la différence entre le CA annuel et le SR. Cette marge indique de combien le CA peut baisser sans descendre en dessous du seuil de rentabilité (donc être en situation de perte). </w:t>
      </w:r>
      <w:r>
        <w:br/>
      </w:r>
      <m:oMathPara>
        <m:oMathParaPr>
          <m:jc m:val="left"/>
        </m:oMathParaPr>
        <m:oMath>
          <m:r>
            <w:rPr>
              <w:rFonts w:ascii="Cambria Math" w:hAnsi="Cambria Math"/>
            </w:rPr>
            <w:lastRenderedPageBreak/>
            <m:t>MS=CA-SR</m:t>
          </m:r>
          <m:r>
            <m:rPr>
              <m:sty m:val="p"/>
            </m:rPr>
            <w:rPr>
              <w:rFonts w:eastAsiaTheme="minorEastAsia"/>
            </w:rPr>
            <w:br/>
          </m:r>
        </m:oMath>
      </m:oMathPara>
    </w:p>
    <w:p w14:paraId="6E122B72" w14:textId="77777777" w:rsidR="001E1A63" w:rsidRDefault="001E1A63" w:rsidP="001E1A63">
      <w:pPr>
        <w:pStyle w:val="Titre3"/>
        <w:numPr>
          <w:ilvl w:val="0"/>
          <w:numId w:val="7"/>
        </w:numPr>
      </w:pPr>
      <w:r>
        <w:t xml:space="preserve">Indice de sécurité ou taux de sécurité (IS). </w:t>
      </w:r>
    </w:p>
    <w:p w14:paraId="4A19A82E" w14:textId="77777777" w:rsidR="001E1A63" w:rsidRPr="001E1A63" w:rsidRDefault="001E1A63" w:rsidP="001E1A63">
      <w:pPr>
        <w:rPr>
          <w:rFonts w:eastAsiaTheme="minorEastAsia"/>
        </w:rPr>
      </w:pPr>
      <w:r>
        <w:t xml:space="preserve">     L’indice de sécurité correspond au pourcentage de baisse que peut supporter le CA sans entraîner de pertes. </w:t>
      </w:r>
      <w:r>
        <w:br/>
      </w:r>
      <m:oMathPara>
        <m:oMathParaPr>
          <m:jc m:val="left"/>
        </m:oMathParaPr>
        <m:oMath>
          <m:r>
            <w:rPr>
              <w:rFonts w:ascii="Cambria Math" w:hAnsi="Cambria Math"/>
            </w:rPr>
            <m:t>IS=</m:t>
          </m:r>
          <m:f>
            <m:fPr>
              <m:ctrlPr>
                <w:rPr>
                  <w:rFonts w:ascii="Cambria Math" w:hAnsi="Cambria Math"/>
                  <w:i/>
                </w:rPr>
              </m:ctrlPr>
            </m:fPr>
            <m:num>
              <m:r>
                <w:rPr>
                  <w:rFonts w:ascii="Cambria Math" w:hAnsi="Cambria Math"/>
                </w:rPr>
                <m:t>Marge de sécurité</m:t>
              </m:r>
            </m:num>
            <m:den>
              <m:r>
                <w:rPr>
                  <w:rFonts w:ascii="Cambria Math" w:hAnsi="Cambria Math"/>
                </w:rPr>
                <m:t>CA</m:t>
              </m:r>
            </m:den>
          </m:f>
          <m:r>
            <w:rPr>
              <w:rFonts w:ascii="Cambria Math" w:hAnsi="Cambria Math"/>
            </w:rPr>
            <m:t xml:space="preserve"> ×100</m:t>
          </m:r>
        </m:oMath>
      </m:oMathPara>
    </w:p>
    <w:p w14:paraId="5555B89D" w14:textId="77777777" w:rsidR="001E1A63" w:rsidRDefault="001E1A63" w:rsidP="001E1A63">
      <w:pPr>
        <w:rPr>
          <w:rFonts w:eastAsiaTheme="minorEastAsia"/>
        </w:rPr>
      </w:pPr>
    </w:p>
    <w:p w14:paraId="549838F3" w14:textId="77777777" w:rsidR="00B62BCB" w:rsidRDefault="00B62BCB" w:rsidP="001E1A63">
      <w:pPr>
        <w:rPr>
          <w:rFonts w:eastAsiaTheme="minorEastAsia"/>
        </w:rPr>
      </w:pPr>
    </w:p>
    <w:p w14:paraId="6ECD9AEA" w14:textId="77777777" w:rsidR="00B62BCB" w:rsidRDefault="00B62BCB" w:rsidP="001E1A63">
      <w:pPr>
        <w:rPr>
          <w:rFonts w:eastAsiaTheme="minorEastAsia"/>
        </w:rPr>
      </w:pPr>
    </w:p>
    <w:p w14:paraId="60BCFEA3" w14:textId="77777777" w:rsidR="001E1A63" w:rsidRDefault="001E1A63" w:rsidP="001E1A63">
      <w:pPr>
        <w:pStyle w:val="Titre3"/>
        <w:numPr>
          <w:ilvl w:val="0"/>
          <w:numId w:val="7"/>
        </w:numPr>
      </w:pPr>
      <w:r>
        <w:t>Levier d’exploitation (LE).</w:t>
      </w:r>
    </w:p>
    <w:p w14:paraId="4D81A854" w14:textId="77777777" w:rsidR="001E1A63" w:rsidRPr="001E1A63" w:rsidRDefault="001E1A63" w:rsidP="001E1A63">
      <w:r>
        <w:t xml:space="preserve">     Le levier d’exploitation représente l’élasticité du résultat d’exploitation (avant charges et produits financiers) par rapport au CA (niveau d’activité). Il exprime la variation relative du résultat par rapport à la variation relative du CA. </w:t>
      </w:r>
      <w:r>
        <w:br/>
      </w:r>
      <m:oMathPara>
        <m:oMathParaPr>
          <m:jc m:val="left"/>
        </m:oMathParaPr>
        <m:oMath>
          <m:r>
            <w:rPr>
              <w:rFonts w:ascii="Cambria Math" w:hAnsi="Cambria Math"/>
            </w:rPr>
            <m:t>LE=</m:t>
          </m:r>
          <m:f>
            <m:fPr>
              <m:ctrlPr>
                <w:rPr>
                  <w:rFonts w:ascii="Cambria Math" w:hAnsi="Cambria Math"/>
                  <w:i/>
                </w:rPr>
              </m:ctrlPr>
            </m:fPr>
            <m:num>
              <m:f>
                <m:fPr>
                  <m:ctrlPr>
                    <w:rPr>
                      <w:rFonts w:ascii="Cambria Math" w:hAnsi="Cambria Math"/>
                      <w:i/>
                    </w:rPr>
                  </m:ctrlPr>
                </m:fPr>
                <m:num>
                  <m:r>
                    <w:rPr>
                      <w:rFonts w:ascii="Cambria Math" w:hAnsi="Cambria Math"/>
                    </w:rPr>
                    <m:t>∆Résultat d'expl</m:t>
                  </m:r>
                  <m:r>
                    <w:rPr>
                      <w:rFonts w:ascii="Cambria Math" w:hAnsi="Cambria Math"/>
                    </w:rPr>
                    <m:t>oitation</m:t>
                  </m:r>
                </m:num>
                <m:den>
                  <m:r>
                    <w:rPr>
                      <w:rFonts w:ascii="Cambria Math" w:hAnsi="Cambria Math"/>
                    </w:rPr>
                    <m:t>Résultat d'exploitation</m:t>
                  </m:r>
                </m:den>
              </m:f>
            </m:num>
            <m:den>
              <m:f>
                <m:fPr>
                  <m:ctrlPr>
                    <w:rPr>
                      <w:rFonts w:ascii="Cambria Math" w:hAnsi="Cambria Math"/>
                      <w:i/>
                    </w:rPr>
                  </m:ctrlPr>
                </m:fPr>
                <m:num>
                  <m:r>
                    <w:rPr>
                      <w:rFonts w:ascii="Cambria Math" w:hAnsi="Cambria Math"/>
                    </w:rPr>
                    <m:t>∆CA</m:t>
                  </m:r>
                </m:num>
                <m:den>
                  <m:r>
                    <w:rPr>
                      <w:rFonts w:ascii="Cambria Math" w:hAnsi="Cambria Math"/>
                    </w:rPr>
                    <m:t>CA</m:t>
                  </m:r>
                </m:den>
              </m:f>
            </m:den>
          </m:f>
        </m:oMath>
      </m:oMathPara>
    </w:p>
    <w:p w14:paraId="022374B0" w14:textId="77777777" w:rsidR="001E1A63" w:rsidRPr="000066B0" w:rsidRDefault="001E1A63" w:rsidP="000066B0"/>
    <w:p w14:paraId="25403312" w14:textId="77777777" w:rsidR="002B1C21" w:rsidRPr="002B1C21" w:rsidRDefault="002B1C21" w:rsidP="002B1C21"/>
    <w:sectPr w:rsidR="002B1C21" w:rsidRPr="002B1C21" w:rsidSect="002314DE">
      <w:headerReference w:type="even" r:id="rId8"/>
      <w:headerReference w:type="default" r:id="rId9"/>
      <w:footerReference w:type="even" r:id="rId10"/>
      <w:footerReference w:type="default" r:id="rId11"/>
      <w:headerReference w:type="first" r:id="rId12"/>
      <w:footerReference w:type="first" r:id="rId1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566B0" w14:textId="77777777" w:rsidR="00323A1B" w:rsidRDefault="00323A1B" w:rsidP="00435A7E">
      <w:pPr>
        <w:spacing w:after="0" w:line="240" w:lineRule="auto"/>
      </w:pPr>
      <w:r>
        <w:separator/>
      </w:r>
    </w:p>
  </w:endnote>
  <w:endnote w:type="continuationSeparator" w:id="0">
    <w:p w14:paraId="2EA0F2CB" w14:textId="77777777" w:rsidR="00323A1B" w:rsidRDefault="00323A1B" w:rsidP="0043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69BB" w14:textId="77777777" w:rsidR="000469B5" w:rsidRDefault="000469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3AA0C" w14:textId="77777777" w:rsidR="000469B5" w:rsidRDefault="000469B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42DD" w14:textId="77777777" w:rsidR="000469B5" w:rsidRDefault="000469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01EDA" w14:textId="77777777" w:rsidR="00323A1B" w:rsidRDefault="00323A1B" w:rsidP="00435A7E">
      <w:pPr>
        <w:spacing w:after="0" w:line="240" w:lineRule="auto"/>
      </w:pPr>
      <w:r>
        <w:separator/>
      </w:r>
    </w:p>
  </w:footnote>
  <w:footnote w:type="continuationSeparator" w:id="0">
    <w:p w14:paraId="6EDF7C2E" w14:textId="77777777" w:rsidR="00323A1B" w:rsidRDefault="00323A1B" w:rsidP="00435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7DD0" w14:textId="77777777" w:rsidR="000469B5" w:rsidRDefault="000469B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CD0C" w14:textId="15F9CB68" w:rsidR="00435A7E" w:rsidRDefault="000469B5">
    <w:pPr>
      <w:pStyle w:val="En-tte"/>
    </w:pPr>
    <w:bookmarkStart w:id="0" w:name="_GoBack"/>
    <w:bookmarkEnd w:id="0"/>
    <w:r>
      <w:rPr>
        <w:noProof/>
        <w:lang w:eastAsia="fr-FR"/>
      </w:rPr>
      <w:drawing>
        <wp:anchor distT="0" distB="0" distL="114300" distR="114300" simplePos="0" relativeHeight="251658240" behindDoc="0" locked="0" layoutInCell="1" allowOverlap="1" wp14:anchorId="42095E98" wp14:editId="7B508DEE">
          <wp:simplePos x="0" y="0"/>
          <wp:positionH relativeFrom="column">
            <wp:posOffset>5739130</wp:posOffset>
          </wp:positionH>
          <wp:positionV relativeFrom="paragraph">
            <wp:posOffset>-459105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CD25" w14:textId="77777777" w:rsidR="000469B5" w:rsidRDefault="000469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F48"/>
    <w:multiLevelType w:val="hybridMultilevel"/>
    <w:tmpl w:val="B9FEE2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49640B"/>
    <w:multiLevelType w:val="hybridMultilevel"/>
    <w:tmpl w:val="98EC3210"/>
    <w:lvl w:ilvl="0" w:tplc="E1647374">
      <w:start w:val="1"/>
      <w:numFmt w:val="upperLetter"/>
      <w:pStyle w:val="Titre3"/>
      <w:lvlText w:val="%1."/>
      <w:lvlJc w:val="left"/>
      <w:pPr>
        <w:ind w:left="720" w:hanging="360"/>
      </w:pPr>
      <w:rPr>
        <w:rFonts w:hint="default"/>
        <w:b/>
        <w:color w:val="C0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A11AED"/>
    <w:multiLevelType w:val="hybridMultilevel"/>
    <w:tmpl w:val="A2E814AE"/>
    <w:lvl w:ilvl="0" w:tplc="FA986718">
      <w:start w:val="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4C8F44D6"/>
    <w:multiLevelType w:val="hybridMultilevel"/>
    <w:tmpl w:val="DD9A12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8D7D04"/>
    <w:multiLevelType w:val="hybridMultilevel"/>
    <w:tmpl w:val="D81C4572"/>
    <w:lvl w:ilvl="0" w:tplc="5EA2CC7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692B5D"/>
    <w:multiLevelType w:val="hybridMultilevel"/>
    <w:tmpl w:val="2A241E42"/>
    <w:lvl w:ilvl="0" w:tplc="B3B84C3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nsid w:val="67E22106"/>
    <w:multiLevelType w:val="hybridMultilevel"/>
    <w:tmpl w:val="7D4440E6"/>
    <w:lvl w:ilvl="0" w:tplc="065C3146">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D079F8"/>
    <w:multiLevelType w:val="hybridMultilevel"/>
    <w:tmpl w:val="082CC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CC3997"/>
    <w:multiLevelType w:val="hybridMultilevel"/>
    <w:tmpl w:val="7EA27B4A"/>
    <w:lvl w:ilvl="0" w:tplc="36D275E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B5450F"/>
    <w:multiLevelType w:val="hybridMultilevel"/>
    <w:tmpl w:val="DE90F858"/>
    <w:lvl w:ilvl="0" w:tplc="089EF13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3"/>
  </w:num>
  <w:num w:numId="7">
    <w:abstractNumId w:val="1"/>
    <w:lvlOverride w:ilvl="0">
      <w:startOverride w:val="1"/>
    </w:lvlOverride>
  </w:num>
  <w:num w:numId="8">
    <w:abstractNumId w:val="2"/>
  </w:num>
  <w:num w:numId="9">
    <w:abstractNumId w:val="9"/>
  </w:num>
  <w:num w:numId="10">
    <w:abstractNumId w:val="5"/>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47"/>
    <w:rsid w:val="000066B0"/>
    <w:rsid w:val="000469B5"/>
    <w:rsid w:val="00062BB8"/>
    <w:rsid w:val="001E1A63"/>
    <w:rsid w:val="002314DE"/>
    <w:rsid w:val="002B1C21"/>
    <w:rsid w:val="00323A1B"/>
    <w:rsid w:val="00435A7E"/>
    <w:rsid w:val="007A37E1"/>
    <w:rsid w:val="00884805"/>
    <w:rsid w:val="00963567"/>
    <w:rsid w:val="00B62BCB"/>
    <w:rsid w:val="00DA5947"/>
    <w:rsid w:val="00E816DA"/>
    <w:rsid w:val="00EB3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1C21"/>
    <w:pPr>
      <w:keepNext/>
      <w:keepLines/>
      <w:spacing w:before="240" w:after="0"/>
      <w:jc w:val="center"/>
      <w:outlineLvl w:val="0"/>
    </w:pPr>
    <w:rPr>
      <w:rFonts w:asciiTheme="majorHAnsi" w:eastAsiaTheme="majorEastAsia" w:hAnsiTheme="majorHAnsi" w:cstheme="majorBidi"/>
      <w:color w:val="FF0000"/>
      <w:sz w:val="32"/>
      <w:szCs w:val="32"/>
    </w:rPr>
  </w:style>
  <w:style w:type="paragraph" w:styleId="Titre2">
    <w:name w:val="heading 2"/>
    <w:basedOn w:val="Normal"/>
    <w:next w:val="Normal"/>
    <w:link w:val="Titre2Car"/>
    <w:uiPriority w:val="9"/>
    <w:unhideWhenUsed/>
    <w:qFormat/>
    <w:rsid w:val="002B1C21"/>
    <w:pPr>
      <w:keepNext/>
      <w:keepLines/>
      <w:numPr>
        <w:numId w:val="1"/>
      </w:numPr>
      <w:spacing w:before="40" w:after="0"/>
      <w:outlineLvl w:val="1"/>
    </w:pPr>
    <w:rPr>
      <w:rFonts w:asciiTheme="majorHAnsi" w:eastAsiaTheme="majorEastAsia" w:hAnsiTheme="majorHAnsi" w:cstheme="majorBidi"/>
      <w:color w:val="C00000"/>
      <w:sz w:val="26"/>
      <w:szCs w:val="26"/>
    </w:rPr>
  </w:style>
  <w:style w:type="paragraph" w:styleId="Titre3">
    <w:name w:val="heading 3"/>
    <w:basedOn w:val="Normal"/>
    <w:next w:val="Normal"/>
    <w:link w:val="Titre3Car"/>
    <w:uiPriority w:val="9"/>
    <w:unhideWhenUsed/>
    <w:qFormat/>
    <w:rsid w:val="002B1C21"/>
    <w:pPr>
      <w:keepNext/>
      <w:keepLines/>
      <w:numPr>
        <w:numId w:val="3"/>
      </w:numPr>
      <w:spacing w:before="40" w:after="0"/>
      <w:outlineLvl w:val="2"/>
    </w:pPr>
    <w:rPr>
      <w:rFonts w:asciiTheme="majorHAnsi" w:eastAsiaTheme="majorEastAsia" w:hAnsiTheme="majorHAnsi" w:cstheme="majorBidi"/>
      <w:b/>
      <w:color w:val="C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C21"/>
    <w:rPr>
      <w:rFonts w:asciiTheme="majorHAnsi" w:eastAsiaTheme="majorEastAsia" w:hAnsiTheme="majorHAnsi" w:cstheme="majorBidi"/>
      <w:color w:val="FF0000"/>
      <w:sz w:val="32"/>
      <w:szCs w:val="32"/>
    </w:rPr>
  </w:style>
  <w:style w:type="character" w:customStyle="1" w:styleId="Titre2Car">
    <w:name w:val="Titre 2 Car"/>
    <w:basedOn w:val="Policepardfaut"/>
    <w:link w:val="Titre2"/>
    <w:uiPriority w:val="9"/>
    <w:rsid w:val="002B1C21"/>
    <w:rPr>
      <w:rFonts w:asciiTheme="majorHAnsi" w:eastAsiaTheme="majorEastAsia" w:hAnsiTheme="majorHAnsi" w:cstheme="majorBidi"/>
      <w:color w:val="C00000"/>
      <w:sz w:val="26"/>
      <w:szCs w:val="26"/>
    </w:rPr>
  </w:style>
  <w:style w:type="paragraph" w:styleId="Paragraphedeliste">
    <w:name w:val="List Paragraph"/>
    <w:basedOn w:val="Normal"/>
    <w:uiPriority w:val="34"/>
    <w:qFormat/>
    <w:rsid w:val="002B1C21"/>
    <w:pPr>
      <w:ind w:left="720"/>
      <w:contextualSpacing/>
    </w:pPr>
  </w:style>
  <w:style w:type="character" w:customStyle="1" w:styleId="Titre3Car">
    <w:name w:val="Titre 3 Car"/>
    <w:basedOn w:val="Policepardfaut"/>
    <w:link w:val="Titre3"/>
    <w:uiPriority w:val="9"/>
    <w:rsid w:val="002B1C21"/>
    <w:rPr>
      <w:rFonts w:asciiTheme="majorHAnsi" w:eastAsiaTheme="majorEastAsia" w:hAnsiTheme="majorHAnsi" w:cstheme="majorBidi"/>
      <w:b/>
      <w:color w:val="C00000"/>
      <w:sz w:val="24"/>
      <w:szCs w:val="24"/>
    </w:rPr>
  </w:style>
  <w:style w:type="table" w:styleId="Grilledutableau">
    <w:name w:val="Table Grid"/>
    <w:basedOn w:val="TableauNormal"/>
    <w:uiPriority w:val="39"/>
    <w:rsid w:val="00E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314DE"/>
    <w:rPr>
      <w:color w:val="808080"/>
    </w:rPr>
  </w:style>
  <w:style w:type="paragraph" w:styleId="En-tte">
    <w:name w:val="header"/>
    <w:basedOn w:val="Normal"/>
    <w:link w:val="En-tteCar"/>
    <w:uiPriority w:val="99"/>
    <w:unhideWhenUsed/>
    <w:rsid w:val="00435A7E"/>
    <w:pPr>
      <w:tabs>
        <w:tab w:val="center" w:pos="4536"/>
        <w:tab w:val="right" w:pos="9072"/>
      </w:tabs>
      <w:spacing w:after="0" w:line="240" w:lineRule="auto"/>
    </w:pPr>
  </w:style>
  <w:style w:type="character" w:customStyle="1" w:styleId="En-tteCar">
    <w:name w:val="En-tête Car"/>
    <w:basedOn w:val="Policepardfaut"/>
    <w:link w:val="En-tte"/>
    <w:uiPriority w:val="99"/>
    <w:rsid w:val="00435A7E"/>
  </w:style>
  <w:style w:type="paragraph" w:styleId="Pieddepage">
    <w:name w:val="footer"/>
    <w:basedOn w:val="Normal"/>
    <w:link w:val="PieddepageCar"/>
    <w:uiPriority w:val="99"/>
    <w:unhideWhenUsed/>
    <w:rsid w:val="00435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A7E"/>
  </w:style>
  <w:style w:type="paragraph" w:styleId="Textedebulles">
    <w:name w:val="Balloon Text"/>
    <w:basedOn w:val="Normal"/>
    <w:link w:val="TextedebullesCar"/>
    <w:uiPriority w:val="99"/>
    <w:semiHidden/>
    <w:unhideWhenUsed/>
    <w:rsid w:val="00046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1C21"/>
    <w:pPr>
      <w:keepNext/>
      <w:keepLines/>
      <w:spacing w:before="240" w:after="0"/>
      <w:jc w:val="center"/>
      <w:outlineLvl w:val="0"/>
    </w:pPr>
    <w:rPr>
      <w:rFonts w:asciiTheme="majorHAnsi" w:eastAsiaTheme="majorEastAsia" w:hAnsiTheme="majorHAnsi" w:cstheme="majorBidi"/>
      <w:color w:val="FF0000"/>
      <w:sz w:val="32"/>
      <w:szCs w:val="32"/>
    </w:rPr>
  </w:style>
  <w:style w:type="paragraph" w:styleId="Titre2">
    <w:name w:val="heading 2"/>
    <w:basedOn w:val="Normal"/>
    <w:next w:val="Normal"/>
    <w:link w:val="Titre2Car"/>
    <w:uiPriority w:val="9"/>
    <w:unhideWhenUsed/>
    <w:qFormat/>
    <w:rsid w:val="002B1C21"/>
    <w:pPr>
      <w:keepNext/>
      <w:keepLines/>
      <w:numPr>
        <w:numId w:val="1"/>
      </w:numPr>
      <w:spacing w:before="40" w:after="0"/>
      <w:outlineLvl w:val="1"/>
    </w:pPr>
    <w:rPr>
      <w:rFonts w:asciiTheme="majorHAnsi" w:eastAsiaTheme="majorEastAsia" w:hAnsiTheme="majorHAnsi" w:cstheme="majorBidi"/>
      <w:color w:val="C00000"/>
      <w:sz w:val="26"/>
      <w:szCs w:val="26"/>
    </w:rPr>
  </w:style>
  <w:style w:type="paragraph" w:styleId="Titre3">
    <w:name w:val="heading 3"/>
    <w:basedOn w:val="Normal"/>
    <w:next w:val="Normal"/>
    <w:link w:val="Titre3Car"/>
    <w:uiPriority w:val="9"/>
    <w:unhideWhenUsed/>
    <w:qFormat/>
    <w:rsid w:val="002B1C21"/>
    <w:pPr>
      <w:keepNext/>
      <w:keepLines/>
      <w:numPr>
        <w:numId w:val="3"/>
      </w:numPr>
      <w:spacing w:before="40" w:after="0"/>
      <w:outlineLvl w:val="2"/>
    </w:pPr>
    <w:rPr>
      <w:rFonts w:asciiTheme="majorHAnsi" w:eastAsiaTheme="majorEastAsia" w:hAnsiTheme="majorHAnsi" w:cstheme="majorBidi"/>
      <w:b/>
      <w:color w:val="C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C21"/>
    <w:rPr>
      <w:rFonts w:asciiTheme="majorHAnsi" w:eastAsiaTheme="majorEastAsia" w:hAnsiTheme="majorHAnsi" w:cstheme="majorBidi"/>
      <w:color w:val="FF0000"/>
      <w:sz w:val="32"/>
      <w:szCs w:val="32"/>
    </w:rPr>
  </w:style>
  <w:style w:type="character" w:customStyle="1" w:styleId="Titre2Car">
    <w:name w:val="Titre 2 Car"/>
    <w:basedOn w:val="Policepardfaut"/>
    <w:link w:val="Titre2"/>
    <w:uiPriority w:val="9"/>
    <w:rsid w:val="002B1C21"/>
    <w:rPr>
      <w:rFonts w:asciiTheme="majorHAnsi" w:eastAsiaTheme="majorEastAsia" w:hAnsiTheme="majorHAnsi" w:cstheme="majorBidi"/>
      <w:color w:val="C00000"/>
      <w:sz w:val="26"/>
      <w:szCs w:val="26"/>
    </w:rPr>
  </w:style>
  <w:style w:type="paragraph" w:styleId="Paragraphedeliste">
    <w:name w:val="List Paragraph"/>
    <w:basedOn w:val="Normal"/>
    <w:uiPriority w:val="34"/>
    <w:qFormat/>
    <w:rsid w:val="002B1C21"/>
    <w:pPr>
      <w:ind w:left="720"/>
      <w:contextualSpacing/>
    </w:pPr>
  </w:style>
  <w:style w:type="character" w:customStyle="1" w:styleId="Titre3Car">
    <w:name w:val="Titre 3 Car"/>
    <w:basedOn w:val="Policepardfaut"/>
    <w:link w:val="Titre3"/>
    <w:uiPriority w:val="9"/>
    <w:rsid w:val="002B1C21"/>
    <w:rPr>
      <w:rFonts w:asciiTheme="majorHAnsi" w:eastAsiaTheme="majorEastAsia" w:hAnsiTheme="majorHAnsi" w:cstheme="majorBidi"/>
      <w:b/>
      <w:color w:val="C00000"/>
      <w:sz w:val="24"/>
      <w:szCs w:val="24"/>
    </w:rPr>
  </w:style>
  <w:style w:type="table" w:styleId="Grilledutableau">
    <w:name w:val="Table Grid"/>
    <w:basedOn w:val="TableauNormal"/>
    <w:uiPriority w:val="39"/>
    <w:rsid w:val="00E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314DE"/>
    <w:rPr>
      <w:color w:val="808080"/>
    </w:rPr>
  </w:style>
  <w:style w:type="paragraph" w:styleId="En-tte">
    <w:name w:val="header"/>
    <w:basedOn w:val="Normal"/>
    <w:link w:val="En-tteCar"/>
    <w:uiPriority w:val="99"/>
    <w:unhideWhenUsed/>
    <w:rsid w:val="00435A7E"/>
    <w:pPr>
      <w:tabs>
        <w:tab w:val="center" w:pos="4536"/>
        <w:tab w:val="right" w:pos="9072"/>
      </w:tabs>
      <w:spacing w:after="0" w:line="240" w:lineRule="auto"/>
    </w:pPr>
  </w:style>
  <w:style w:type="character" w:customStyle="1" w:styleId="En-tteCar">
    <w:name w:val="En-tête Car"/>
    <w:basedOn w:val="Policepardfaut"/>
    <w:link w:val="En-tte"/>
    <w:uiPriority w:val="99"/>
    <w:rsid w:val="00435A7E"/>
  </w:style>
  <w:style w:type="paragraph" w:styleId="Pieddepage">
    <w:name w:val="footer"/>
    <w:basedOn w:val="Normal"/>
    <w:link w:val="PieddepageCar"/>
    <w:uiPriority w:val="99"/>
    <w:unhideWhenUsed/>
    <w:rsid w:val="00435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A7E"/>
  </w:style>
  <w:style w:type="paragraph" w:styleId="Textedebulles">
    <w:name w:val="Balloon Text"/>
    <w:basedOn w:val="Normal"/>
    <w:link w:val="TextedebullesCar"/>
    <w:uiPriority w:val="99"/>
    <w:semiHidden/>
    <w:unhideWhenUsed/>
    <w:rsid w:val="00046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1142</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6</cp:revision>
  <dcterms:created xsi:type="dcterms:W3CDTF">2015-03-23T07:12:00Z</dcterms:created>
  <dcterms:modified xsi:type="dcterms:W3CDTF">2018-02-26T17:43:00Z</dcterms:modified>
</cp:coreProperties>
</file>